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4AF69" w14:textId="77777777" w:rsidR="00652A91" w:rsidRDefault="002A544C">
      <w:pPr>
        <w:pStyle w:val="Heading1"/>
      </w:pPr>
      <w:r>
        <w:t>TotalEnergies SKG Voice Of Peers</w:t>
      </w:r>
    </w:p>
    <w:p w14:paraId="57C78468" w14:textId="77777777" w:rsidR="00652A91" w:rsidRDefault="002A544C">
      <w:pPr>
        <w:pStyle w:val="Heading2"/>
      </w:pPr>
      <w:r>
        <w:t>Case Study Summaries</w:t>
      </w:r>
    </w:p>
    <w:p w14:paraId="711C6458" w14:textId="77777777" w:rsidR="00652A91" w:rsidRDefault="002A544C">
      <w:pPr>
        <w:pStyle w:val="Heading3"/>
      </w:pPr>
      <w:r>
        <w:t>Basis Of Preparation</w:t>
      </w:r>
    </w:p>
    <w:p w14:paraId="0F1BDDF1" w14:textId="77777777" w:rsidR="00652A91" w:rsidRDefault="002A544C">
      <w:r>
        <w:t>This document summarizes concrete cases extracted from the Workstream 3 peer interviews. It is designed as a presentation support appendix: each case can be reused as a slide box, speaker note, or evidence paragraph.</w:t>
      </w:r>
    </w:p>
    <w:p w14:paraId="60A54273" w14:textId="77777777" w:rsidR="00652A91" w:rsidRDefault="002A544C">
      <w:r>
        <w:t>The cases are transcript-grounded but written in client-ready language. They are not formal third-party endorsements or audited case studies.</w:t>
      </w:r>
    </w:p>
    <w:p w14:paraId="23551D12" w14:textId="77777777" w:rsidR="00652A91" w:rsidRDefault="002A544C">
      <w:pPr>
        <w:pStyle w:val="Heading2"/>
      </w:pPr>
      <w:r>
        <w:t>Executive Synthesis</w:t>
      </w:r>
    </w:p>
    <w:p w14:paraId="3001A509" w14:textId="77777777" w:rsidR="00652A91" w:rsidRDefault="002A544C">
      <w:r>
        <w:t>The peer interviews support one clear message: semantic work becomes valuable when it helps organizations coordinate across systems, standards, tools, and decision processes.</w:t>
      </w:r>
    </w:p>
    <w:p w14:paraId="4C363D29" w14:textId="77777777" w:rsidR="00652A91" w:rsidRDefault="002A544C">
      <w:r>
        <w:t>The strongest external evidence falls into six case patterns:</w:t>
      </w:r>
    </w:p>
    <w:p w14:paraId="54CFB2CA" w14:textId="77777777" w:rsidR="00652A91" w:rsidRDefault="002A544C">
      <w:pPr>
        <w:pStyle w:val="ListBullet"/>
      </w:pPr>
      <w:r>
        <w:t>Semantic standards as reusable services.</w:t>
      </w:r>
    </w:p>
    <w:p w14:paraId="74814815" w14:textId="77777777" w:rsidR="00652A91" w:rsidRDefault="002A544C">
      <w:pPr>
        <w:pStyle w:val="ListBullet"/>
      </w:pPr>
      <w:r>
        <w:t>Scheduling and planning interoperability across tools.</w:t>
      </w:r>
    </w:p>
    <w:p w14:paraId="69B7923D" w14:textId="77777777" w:rsidR="00652A91" w:rsidRDefault="002A544C">
      <w:pPr>
        <w:pStyle w:val="ListBullet"/>
      </w:pPr>
      <w:r>
        <w:t>Engineering symbol and reference-data reuse.</w:t>
      </w:r>
    </w:p>
    <w:p w14:paraId="0EE76765" w14:textId="77777777" w:rsidR="00652A91" w:rsidRDefault="002A544C">
      <w:pPr>
        <w:pStyle w:val="ListBullet"/>
      </w:pPr>
      <w:r>
        <w:t>Vocabulary alignment as an operating-model issue.</w:t>
      </w:r>
    </w:p>
    <w:p w14:paraId="5FA7CE37" w14:textId="77777777" w:rsidR="00652A91" w:rsidRDefault="002A544C">
      <w:pPr>
        <w:pStyle w:val="ListBullet"/>
      </w:pPr>
      <w:r>
        <w:t>Model interoperability across engineering and simulation environments.</w:t>
      </w:r>
    </w:p>
    <w:p w14:paraId="62BB72C1" w14:textId="77777777" w:rsidR="00652A91" w:rsidRDefault="002A544C">
      <w:pPr>
        <w:pStyle w:val="ListBullet"/>
      </w:pPr>
      <w:r>
        <w:t>AI governance through ontology, provenance, and proof.</w:t>
      </w:r>
    </w:p>
    <w:p w14:paraId="6FD0E7EB" w14:textId="77777777" w:rsidR="00652A91" w:rsidRDefault="002A544C">
      <w:pPr>
        <w:pStyle w:val="Heading2"/>
      </w:pPr>
      <w:r>
        <w:t>Case 1: PCA / CFIHOS+ Semantic Extensions</w:t>
      </w:r>
    </w:p>
    <w:p w14:paraId="3A8B4FAE" w14:textId="77777777" w:rsidR="00652A91" w:rsidRDefault="002A544C">
      <w:pPr>
        <w:pStyle w:val="Heading3"/>
      </w:pPr>
      <w:r>
        <w:t>Peer Source</w:t>
      </w:r>
    </w:p>
    <w:p w14:paraId="0E0C5E08" w14:textId="77777777" w:rsidR="00652A91" w:rsidRDefault="002A544C">
      <w:r>
        <w:t>Lars Berthinussen, PCA / POSC Caesar Association.</w:t>
      </w:r>
    </w:p>
    <w:p w14:paraId="69EAB3AD" w14:textId="77777777" w:rsidR="00652A91" w:rsidRDefault="002A544C">
      <w:pPr>
        <w:pStyle w:val="Heading3"/>
      </w:pPr>
      <w:r>
        <w:t>What The Case Shows</w:t>
      </w:r>
    </w:p>
    <w:p w14:paraId="3163AB79" w14:textId="77777777" w:rsidR="00652A91" w:rsidRDefault="002A544C">
      <w:r>
        <w:t>Industrial standards need a way to evolve faster than traditional committee cycles. PCA is moving reference data and standard extensions toward online services, persistent IRIs, and version control.</w:t>
      </w:r>
    </w:p>
    <w:p w14:paraId="3B81D3E7" w14:textId="77777777" w:rsidR="00652A91" w:rsidRDefault="002A544C">
      <w:pPr>
        <w:pStyle w:val="Heading3"/>
      </w:pPr>
      <w:r>
        <w:t>Business Problem</w:t>
      </w:r>
    </w:p>
    <w:p w14:paraId="32D6805E" w14:textId="77777777" w:rsidR="00652A91" w:rsidRDefault="002A544C">
      <w:r>
        <w:t>Oil and gas actors use large reference-data standards such as CFIHOS, but individual companies often need extensions. Traditional standard development can take years, requires heavy manual work, and may arrive too late for operational needs.</w:t>
      </w:r>
    </w:p>
    <w:p w14:paraId="0B909C74" w14:textId="77777777" w:rsidR="00652A91" w:rsidRDefault="002A544C">
      <w:pPr>
        <w:pStyle w:val="Heading3"/>
      </w:pPr>
      <w:r>
        <w:t>Semantic Mechanism</w:t>
      </w:r>
    </w:p>
    <w:p w14:paraId="60FCF627" w14:textId="77777777" w:rsidR="00652A91" w:rsidRDefault="002A544C">
      <w:r>
        <w:t>PCA provides an online extension mechanism for CFIHOS+:</w:t>
      </w:r>
    </w:p>
    <w:p w14:paraId="21AD7BB8" w14:textId="77777777" w:rsidR="00652A91" w:rsidRDefault="002A544C">
      <w:pPr>
        <w:pStyle w:val="ListBullet"/>
      </w:pPr>
      <w:r>
        <w:t>Users can create extensions to reference data.</w:t>
      </w:r>
    </w:p>
    <w:p w14:paraId="5F7CECEF" w14:textId="77777777" w:rsidR="00652A91" w:rsidRDefault="002A544C">
      <w:pPr>
        <w:pStyle w:val="ListBullet"/>
      </w:pPr>
      <w:r>
        <w:t>Assets receive persistent IRIs.</w:t>
      </w:r>
    </w:p>
    <w:p w14:paraId="30ED413B" w14:textId="77777777" w:rsidR="00652A91" w:rsidRDefault="002A544C">
      <w:pPr>
        <w:pStyle w:val="ListBullet"/>
      </w:pPr>
      <w:r>
        <w:t>Version control is built into the service.</w:t>
      </w:r>
    </w:p>
    <w:p w14:paraId="4706AA94" w14:textId="77777777" w:rsidR="00652A91" w:rsidRDefault="002A544C">
      <w:pPr>
        <w:pStyle w:val="ListBullet"/>
      </w:pPr>
      <w:r>
        <w:t>Content remains governed while extension becomes more decentralized.</w:t>
      </w:r>
    </w:p>
    <w:p w14:paraId="04AF4177" w14:textId="77777777" w:rsidR="00652A91" w:rsidRDefault="002A544C">
      <w:pPr>
        <w:pStyle w:val="Heading3"/>
      </w:pPr>
      <w:r>
        <w:t>Value Signal</w:t>
      </w:r>
    </w:p>
    <w:p w14:paraId="78A1A457" w14:textId="77777777" w:rsidR="00652A91" w:rsidRDefault="002A544C">
      <w:r>
        <w:t>The value is speed with control. Standards can become living semantic assets rather than static documents. Companies can extend standards while preserving traceability and shared meaning.</w:t>
      </w:r>
    </w:p>
    <w:p w14:paraId="0955430A" w14:textId="77777777" w:rsidR="00652A91" w:rsidRDefault="002A544C">
      <w:pPr>
        <w:pStyle w:val="Heading3"/>
      </w:pPr>
      <w:r>
        <w:lastRenderedPageBreak/>
        <w:t>Relevance For TotalEnergies</w:t>
      </w:r>
    </w:p>
    <w:p w14:paraId="69010190" w14:textId="77777777" w:rsidR="00652A91" w:rsidRDefault="002A544C">
      <w:r>
        <w:t>This supports the positioning of TSF and SousLeSens as a governed semantic control layer. For LifeX, the same logic applies to equipment families, tags, inspection evidence, maintenance events, and COMEX reporting concepts: the semantic model should evolve with the operational use case while staying governed.</w:t>
      </w:r>
    </w:p>
    <w:p w14:paraId="12938FDA" w14:textId="77777777" w:rsidR="00652A91" w:rsidRDefault="002A544C">
      <w:pPr>
        <w:pStyle w:val="Heading3"/>
      </w:pPr>
      <w:r>
        <w:t>Evidence From Transcript</w:t>
      </w:r>
    </w:p>
    <w:p w14:paraId="25DA6FB8" w14:textId="77777777" w:rsidR="00652A91" w:rsidRDefault="002A544C">
      <w:r>
        <w:t>Lars describes CFIHOS+ as an online service where users can extend a standard, share the IRI to an asset, and retain full version control. He contrasts this with ISO-style development cycles that can take years.</w:t>
      </w:r>
    </w:p>
    <w:p w14:paraId="5D88149D" w14:textId="77777777" w:rsidR="00652A91" w:rsidRDefault="002A544C">
      <w:pPr>
        <w:pStyle w:val="Heading2"/>
      </w:pPr>
      <w:r>
        <w:t>Case 2: Scheduled Data Ontology And ILAP Planning Interoperability</w:t>
      </w:r>
    </w:p>
    <w:p w14:paraId="3CABF151" w14:textId="77777777" w:rsidR="00652A91" w:rsidRDefault="002A544C">
      <w:pPr>
        <w:pStyle w:val="Heading3"/>
      </w:pPr>
      <w:r>
        <w:t>Peer Source</w:t>
      </w:r>
    </w:p>
    <w:p w14:paraId="4E82DD8B" w14:textId="77777777" w:rsidR="00652A91" w:rsidRDefault="002A544C">
      <w:r>
        <w:t>Lars Berthinussen, PCA / POSC Caesar Association.</w:t>
      </w:r>
    </w:p>
    <w:p w14:paraId="572C9BDF" w14:textId="77777777" w:rsidR="00652A91" w:rsidRDefault="002A544C">
      <w:pPr>
        <w:pStyle w:val="Heading3"/>
      </w:pPr>
      <w:r>
        <w:t>What The Case Shows</w:t>
      </w:r>
    </w:p>
    <w:p w14:paraId="6B0368F5" w14:textId="77777777" w:rsidR="00652A91" w:rsidRDefault="002A544C">
      <w:r>
        <w:t>Shared ontology can allow planning information to move between tools without forcing every actor onto the same software.</w:t>
      </w:r>
    </w:p>
    <w:p w14:paraId="0B455728" w14:textId="77777777" w:rsidR="00652A91" w:rsidRDefault="002A544C">
      <w:pPr>
        <w:pStyle w:val="Heading3"/>
      </w:pPr>
      <w:r>
        <w:t>Business Problem</w:t>
      </w:r>
    </w:p>
    <w:p w14:paraId="6BBB793A" w14:textId="77777777" w:rsidR="00652A91" w:rsidRDefault="002A544C">
      <w:r>
        <w:t>Oil and gas companies use different planning tools. A seemingly simple maintenance task, such as changing a valve on an offshore platform, requires coordination across replacement-item availability, certified personnel, accommodation, transport, and execution windows.</w:t>
      </w:r>
    </w:p>
    <w:p w14:paraId="6A214671" w14:textId="77777777" w:rsidR="00652A91" w:rsidRDefault="002A544C">
      <w:pPr>
        <w:pStyle w:val="Heading3"/>
      </w:pPr>
      <w:r>
        <w:t>Semantic Mechanism</w:t>
      </w:r>
    </w:p>
    <w:p w14:paraId="634B5852" w14:textId="77777777" w:rsidR="00652A91" w:rsidRDefault="002A544C">
      <w:r>
        <w:t>PCA expects to work with ILAP and scheduled data ontology to provide semantic mapping for global terms. The goal is to translate scheduling information objects between different software tools.</w:t>
      </w:r>
    </w:p>
    <w:p w14:paraId="6E994EC7" w14:textId="77777777" w:rsidR="00652A91" w:rsidRDefault="002A544C">
      <w:pPr>
        <w:pStyle w:val="Heading3"/>
      </w:pPr>
      <w:r>
        <w:t>Value Signal</w:t>
      </w:r>
    </w:p>
    <w:p w14:paraId="0B74235F" w14:textId="77777777" w:rsidR="00652A91" w:rsidRDefault="002A544C">
      <w:r>
        <w:t>The value is cross-tool continuity. A plan can begin in one project planning tool and remain understandable in another, even when the underlying data models differ.</w:t>
      </w:r>
    </w:p>
    <w:p w14:paraId="1E91AA91" w14:textId="77777777" w:rsidR="00652A91" w:rsidRDefault="002A544C">
      <w:pPr>
        <w:pStyle w:val="Heading3"/>
      </w:pPr>
      <w:r>
        <w:t>Relevance For TotalEnergies</w:t>
      </w:r>
    </w:p>
    <w:p w14:paraId="68667A27" w14:textId="77777777" w:rsidR="00652A91" w:rsidRDefault="002A544C">
      <w:r>
        <w:t>LifeX has the same structural challenge: decisions require evidence from inspection systems, asset data, operational planning, maintenance records, financial impact, and reporting channels. SKG can connect the meaning across those systems without replacing the operational stack.</w:t>
      </w:r>
    </w:p>
    <w:p w14:paraId="6D463595" w14:textId="77777777" w:rsidR="00652A91" w:rsidRDefault="002A544C">
      <w:pPr>
        <w:pStyle w:val="Heading3"/>
      </w:pPr>
      <w:r>
        <w:t>Evidence From Transcript</w:t>
      </w:r>
    </w:p>
    <w:p w14:paraId="737A5B1E" w14:textId="77777777" w:rsidR="00652A91" w:rsidRDefault="002A544C">
      <w:r>
        <w:t>Lars explains that shared ontologies, standards, or graphs can let users start a conversation in one software and continue it in a different software, despite different foundational data models.</w:t>
      </w:r>
    </w:p>
    <w:p w14:paraId="31370E87" w14:textId="77777777" w:rsidR="00652A91" w:rsidRDefault="002A544C">
      <w:pPr>
        <w:pStyle w:val="Heading2"/>
      </w:pPr>
      <w:r>
        <w:t>Case 3: Digital Engineering Symbol Library</w:t>
      </w:r>
    </w:p>
    <w:p w14:paraId="1C5A620A" w14:textId="77777777" w:rsidR="00652A91" w:rsidRDefault="002A544C">
      <w:pPr>
        <w:pStyle w:val="Heading3"/>
      </w:pPr>
      <w:r>
        <w:t>Peer Source</w:t>
      </w:r>
    </w:p>
    <w:p w14:paraId="315ACD3A" w14:textId="77777777" w:rsidR="00652A91" w:rsidRDefault="002A544C">
      <w:r>
        <w:t>Lars Berthinussen, PCA / POSC Caesar Association.</w:t>
      </w:r>
    </w:p>
    <w:p w14:paraId="411A8981" w14:textId="77777777" w:rsidR="00652A91" w:rsidRDefault="002A544C">
      <w:pPr>
        <w:pStyle w:val="Heading3"/>
      </w:pPr>
      <w:r>
        <w:t>What The Case Shows</w:t>
      </w:r>
    </w:p>
    <w:p w14:paraId="31FD96CA" w14:textId="77777777" w:rsidR="00652A91" w:rsidRDefault="002A544C">
      <w:r>
        <w:t>Small semantic services can create practical savings when they remove repeated interpretation work from engineering projects.</w:t>
      </w:r>
    </w:p>
    <w:p w14:paraId="08B265ED" w14:textId="77777777" w:rsidR="00652A91" w:rsidRDefault="002A544C">
      <w:pPr>
        <w:pStyle w:val="Heading3"/>
      </w:pPr>
      <w:r>
        <w:t>Business Problem</w:t>
      </w:r>
    </w:p>
    <w:p w14:paraId="28D6CC83" w14:textId="77777777" w:rsidR="00652A91" w:rsidRDefault="002A544C">
      <w:r>
        <w:t>Engineering companies often create a new project legend for each collaboration: which symbols will be used, what each symbol means, what size conventions apply, and how partners should interpret the drawing. This repeats work across projects.</w:t>
      </w:r>
    </w:p>
    <w:p w14:paraId="54DC41EE" w14:textId="77777777" w:rsidR="00652A91" w:rsidRDefault="002A544C">
      <w:pPr>
        <w:pStyle w:val="Heading3"/>
      </w:pPr>
      <w:r>
        <w:t>Semantic Mechanism</w:t>
      </w:r>
    </w:p>
    <w:p w14:paraId="4B5473BC" w14:textId="77777777" w:rsidR="00652A91" w:rsidRDefault="002A544C">
      <w:r>
        <w:t>A shared digital symbol library acts as a reusable semantic reference. Teams can point to the library instead of recreating symbol definitions manually each time.</w:t>
      </w:r>
    </w:p>
    <w:p w14:paraId="57ADFF26" w14:textId="77777777" w:rsidR="00652A91" w:rsidRDefault="002A544C">
      <w:pPr>
        <w:pStyle w:val="Heading3"/>
      </w:pPr>
      <w:r>
        <w:t>Value Signal</w:t>
      </w:r>
    </w:p>
    <w:p w14:paraId="3CB52CF0" w14:textId="77777777" w:rsidR="00652A91" w:rsidRDefault="002A544C">
      <w:r>
        <w:t>The value is reduced repetition. The service saves engineering hours once it is established and accepted as the reference.</w:t>
      </w:r>
    </w:p>
    <w:p w14:paraId="1D08635D" w14:textId="77777777" w:rsidR="00652A91" w:rsidRDefault="002A544C">
      <w:pPr>
        <w:pStyle w:val="Heading3"/>
      </w:pPr>
      <w:r>
        <w:t>Relevance For TotalEnergies</w:t>
      </w:r>
    </w:p>
    <w:p w14:paraId="0C363391" w14:textId="77777777" w:rsidR="00652A91" w:rsidRDefault="002A544C">
      <w:r>
        <w:t>This is a useful benchmark for TSF adoption: value may come first from narrow reusable services, not from a broad abstract ontology program. For LifeX, examples could include equipment-type definitions, inspection finding categories, failure modes, risk impact categories, and reporting labels.</w:t>
      </w:r>
    </w:p>
    <w:p w14:paraId="6F8101FF" w14:textId="77777777" w:rsidR="00652A91" w:rsidRDefault="002A544C">
      <w:pPr>
        <w:pStyle w:val="Heading3"/>
      </w:pPr>
      <w:r>
        <w:t>Evidence From Transcript</w:t>
      </w:r>
    </w:p>
    <w:p w14:paraId="06ED8812" w14:textId="77777777" w:rsidR="00652A91" w:rsidRDefault="002A544C">
      <w:r>
        <w:t>Lars describes how every project may need to recreate a symbol legend manually and says that a shared library can save many engineering hours once management requires its use.</w:t>
      </w:r>
    </w:p>
    <w:p w14:paraId="678A1B71" w14:textId="77777777" w:rsidR="00652A91" w:rsidRDefault="002A544C">
      <w:pPr>
        <w:pStyle w:val="Heading2"/>
      </w:pPr>
      <w:r>
        <w:t>Case 4: Michelin Vocabulary And Knowledge Management Maturity</w:t>
      </w:r>
    </w:p>
    <w:p w14:paraId="4BA4F8FA" w14:textId="77777777" w:rsidR="00652A91" w:rsidRDefault="002A544C">
      <w:pPr>
        <w:pStyle w:val="Heading3"/>
      </w:pPr>
      <w:r>
        <w:t>Peer Source</w:t>
      </w:r>
    </w:p>
    <w:p w14:paraId="3E143D82" w14:textId="77777777" w:rsidR="00652A91" w:rsidRDefault="002A544C">
      <w:r>
        <w:t>Pierre Kiener, Michelin.</w:t>
      </w:r>
    </w:p>
    <w:p w14:paraId="2C9DC32A" w14:textId="77777777" w:rsidR="00652A91" w:rsidRDefault="002A544C">
      <w:pPr>
        <w:pStyle w:val="Heading3"/>
      </w:pPr>
      <w:r>
        <w:t>What The Case Shows</w:t>
      </w:r>
    </w:p>
    <w:p w14:paraId="1A807A0D" w14:textId="77777777" w:rsidR="00652A91" w:rsidRDefault="002A544C">
      <w:r>
        <w:t>Semantic adoption is a cultural and operating-model challenge as much as a technical one. Vocabulary alignment matters because it shapes how people, systems, and future AI agents understand the business.</w:t>
      </w:r>
    </w:p>
    <w:p w14:paraId="1F3D3E5B" w14:textId="77777777" w:rsidR="00652A91" w:rsidRDefault="002A544C">
      <w:pPr>
        <w:pStyle w:val="Heading3"/>
      </w:pPr>
      <w:r>
        <w:t>Business Problem</w:t>
      </w:r>
    </w:p>
    <w:p w14:paraId="022E8D59" w14:textId="77777777" w:rsidR="00652A91" w:rsidRDefault="002A544C">
      <w:r>
        <w:t>Michelin has critical knowledge across product design, markets, materials, R&amp;D, operations, and customer segments. Data exists across systems, but terms are not named consistently. A common R&amp;D question may require consulting several systems that each have their own logic.</w:t>
      </w:r>
    </w:p>
    <w:p w14:paraId="7A94EAB5" w14:textId="77777777" w:rsidR="00652A91" w:rsidRDefault="002A544C">
      <w:pPr>
        <w:pStyle w:val="Heading3"/>
      </w:pPr>
      <w:r>
        <w:t>Semantic Mechanism</w:t>
      </w:r>
    </w:p>
    <w:p w14:paraId="4D0136E2" w14:textId="77777777" w:rsidR="00652A91" w:rsidRDefault="002A544C">
      <w:r>
        <w:t>Pierre points to the need for a shared vocabulary made available through a simple tool. Local mapping tables and cross-indexes exist, but they do not amount to a common semantic layer.</w:t>
      </w:r>
    </w:p>
    <w:p w14:paraId="272A8CB6" w14:textId="77777777" w:rsidR="00652A91" w:rsidRDefault="002A544C">
      <w:pPr>
        <w:pStyle w:val="Heading3"/>
      </w:pPr>
      <w:r>
        <w:t>Value Signal</w:t>
      </w:r>
    </w:p>
    <w:p w14:paraId="02BD5052" w14:textId="77777777" w:rsidR="00652A91" w:rsidRDefault="002A544C">
      <w:r>
        <w:t>The value is reduction of invisible friction:</w:t>
      </w:r>
    </w:p>
    <w:p w14:paraId="09260693" w14:textId="77777777" w:rsidR="00652A91" w:rsidRDefault="002A544C">
      <w:pPr>
        <w:pStyle w:val="ListBullet"/>
      </w:pPr>
      <w:r>
        <w:t>Less time lost interpreting system-specific vocabulary.</w:t>
      </w:r>
    </w:p>
    <w:p w14:paraId="63F2B733" w14:textId="77777777" w:rsidR="00652A91" w:rsidRDefault="002A544C">
      <w:pPr>
        <w:pStyle w:val="ListBullet"/>
      </w:pPr>
      <w:r>
        <w:t>Fewer conflicts caused by different meanings for the same concept.</w:t>
      </w:r>
    </w:p>
    <w:p w14:paraId="7412A42D" w14:textId="77777777" w:rsidR="00652A91" w:rsidRDefault="002A544C">
      <w:pPr>
        <w:pStyle w:val="ListBullet"/>
      </w:pPr>
      <w:r>
        <w:t>Better continuity of operational know-how as people move.</w:t>
      </w:r>
    </w:p>
    <w:p w14:paraId="0EC599CE" w14:textId="77777777" w:rsidR="00652A91" w:rsidRDefault="002A544C">
      <w:pPr>
        <w:pStyle w:val="ListBullet"/>
      </w:pPr>
      <w:r>
        <w:t>Better preparation for trustworthy AI and agentic workflows.</w:t>
      </w:r>
    </w:p>
    <w:p w14:paraId="69D8B4E4" w14:textId="77777777" w:rsidR="00652A91" w:rsidRDefault="002A544C">
      <w:pPr>
        <w:pStyle w:val="Heading3"/>
      </w:pPr>
      <w:r>
        <w:t>Relevance For TotalEnergies</w:t>
      </w:r>
    </w:p>
    <w:p w14:paraId="0D75D4E1" w14:textId="77777777" w:rsidR="00652A91" w:rsidRDefault="002A544C">
      <w:r>
        <w:t>This directly reinforces the LifeX communication angle. TotalEnergies should not position TSF only as an expert ontology asset; it should position TSF as a way to preserve and operationalize shared meaning across people, systems, and decision cycles.</w:t>
      </w:r>
    </w:p>
    <w:p w14:paraId="1202DC1C" w14:textId="77777777" w:rsidR="00652A91" w:rsidRDefault="002A544C">
      <w:pPr>
        <w:pStyle w:val="Heading3"/>
      </w:pPr>
      <w:r>
        <w:t>Evidence From Transcript</w:t>
      </w:r>
    </w:p>
    <w:p w14:paraId="229F0E41" w14:textId="77777777" w:rsidR="00652A91" w:rsidRDefault="002A544C">
      <w:r>
        <w:t>Pierre identifies vocabulary alignment as the foundational issue. He explains that teams may need to query five or six systems to answer a common R&amp;D question, each with its own way of thinking, creating time loss and conflict.</w:t>
      </w:r>
    </w:p>
    <w:p w14:paraId="6244871F" w14:textId="77777777" w:rsidR="00652A91" w:rsidRDefault="002A544C">
      <w:pPr>
        <w:pStyle w:val="Heading2"/>
      </w:pPr>
      <w:r>
        <w:t>Case 5: Airbus Semantic Hub And Model Interoperability</w:t>
      </w:r>
    </w:p>
    <w:p w14:paraId="6042CF47" w14:textId="77777777" w:rsidR="00652A91" w:rsidRDefault="002A544C">
      <w:pPr>
        <w:pStyle w:val="Heading3"/>
      </w:pPr>
      <w:r>
        <w:t>Peer Source</w:t>
      </w:r>
    </w:p>
    <w:p w14:paraId="70CCD7AA" w14:textId="77777777" w:rsidR="00652A91" w:rsidRDefault="002A544C">
      <w:r>
        <w:t>Arkopaul Sarkar, NIST / IOF.</w:t>
      </w:r>
    </w:p>
    <w:p w14:paraId="73B4DF29" w14:textId="77777777" w:rsidR="00652A91" w:rsidRDefault="002A544C">
      <w:pPr>
        <w:pStyle w:val="Heading3"/>
      </w:pPr>
      <w:r>
        <w:t>What The Case Shows</w:t>
      </w:r>
    </w:p>
    <w:p w14:paraId="5BA806A7" w14:textId="77777777" w:rsidR="00652A91" w:rsidRDefault="002A544C">
      <w:r>
        <w:t>Ontology can connect engineering models, simulation models, production-line architecture, factory layout, and design information. The case extends the discussion from data interoperability to model interoperability.</w:t>
      </w:r>
    </w:p>
    <w:p w14:paraId="2B94BE50" w14:textId="77777777" w:rsidR="00652A91" w:rsidRDefault="002A544C">
      <w:pPr>
        <w:pStyle w:val="Heading3"/>
      </w:pPr>
      <w:r>
        <w:t>Business Problem</w:t>
      </w:r>
    </w:p>
    <w:p w14:paraId="6AB79741" w14:textId="77777777" w:rsidR="00652A91" w:rsidRDefault="002A544C">
      <w:r>
        <w:t>Large industrial organizations use multiple virtual models to design, analyze, and operate complex systems. Each model may be self-consistent, but the models do not automatically communicate with each other.</w:t>
      </w:r>
    </w:p>
    <w:p w14:paraId="174F8A7C" w14:textId="77777777" w:rsidR="00652A91" w:rsidRDefault="002A544C">
      <w:pPr>
        <w:pStyle w:val="Heading3"/>
      </w:pPr>
      <w:r>
        <w:t>Semantic Mechanism</w:t>
      </w:r>
    </w:p>
    <w:p w14:paraId="11063429" w14:textId="77777777" w:rsidR="00652A91" w:rsidRDefault="002A544C">
      <w:r>
        <w:t>Arkopaul describes Airbus work on a Semantic Hub prototype designed to make production-line architecture models, simulation models, aircraft design, and factory layout interoperable through ontology.</w:t>
      </w:r>
    </w:p>
    <w:p w14:paraId="08BE4209" w14:textId="77777777" w:rsidR="00652A91" w:rsidRDefault="002A544C">
      <w:pPr>
        <w:pStyle w:val="Heading3"/>
      </w:pPr>
      <w:r>
        <w:t>Value Signal</w:t>
      </w:r>
    </w:p>
    <w:p w14:paraId="09CB0547" w14:textId="77777777" w:rsidR="00652A91" w:rsidRDefault="002A544C">
      <w:r>
        <w:t>The value is model continuity. Ontology can bridge design, simulation, engineering, and operational models so that decisions are not trapped inside isolated tools.</w:t>
      </w:r>
    </w:p>
    <w:p w14:paraId="37FCA785" w14:textId="77777777" w:rsidR="00652A91" w:rsidRDefault="002A544C">
      <w:pPr>
        <w:pStyle w:val="Heading3"/>
      </w:pPr>
      <w:r>
        <w:t>Relevance For TotalEnergies</w:t>
      </w:r>
    </w:p>
    <w:p w14:paraId="6352FD27" w14:textId="77777777" w:rsidR="00652A91" w:rsidRDefault="002A544C">
      <w:r>
        <w:t>LifeX combines data and model-interoperability challenges across assets, degradation patterns, inspection evidence, maintenance logic, risk impacts, and reporting structures. SKG can help make those models interoperable while preserving each platform's operational role.</w:t>
      </w:r>
    </w:p>
    <w:p w14:paraId="44F35F53" w14:textId="77777777" w:rsidR="00652A91" w:rsidRDefault="002A544C">
      <w:pPr>
        <w:pStyle w:val="Heading3"/>
      </w:pPr>
      <w:r>
        <w:t>Evidence From Transcript</w:t>
      </w:r>
    </w:p>
    <w:p w14:paraId="12786E9E" w14:textId="77777777" w:rsidR="00652A91" w:rsidRDefault="002A544C">
      <w:r>
        <w:t>Arkopaul describes a three-year Airbus project where ontology was used for model interoperability, including production-line architecture, simulation, aircraft design, and factory layout.</w:t>
      </w:r>
    </w:p>
    <w:p w14:paraId="6B987D7E" w14:textId="77777777" w:rsidR="00652A91" w:rsidRDefault="002A544C">
      <w:pPr>
        <w:pStyle w:val="Heading2"/>
      </w:pPr>
      <w:r>
        <w:t>Case 6: NIST, IOF, AI Provenance, And Supply Chain Traceability</w:t>
      </w:r>
    </w:p>
    <w:p w14:paraId="7075556D" w14:textId="77777777" w:rsidR="00652A91" w:rsidRDefault="002A544C">
      <w:pPr>
        <w:pStyle w:val="Heading3"/>
      </w:pPr>
      <w:r>
        <w:t>Peer Source</w:t>
      </w:r>
    </w:p>
    <w:p w14:paraId="421BA75E" w14:textId="77777777" w:rsidR="00652A91" w:rsidRDefault="002A544C">
      <w:r>
        <w:t>Arkopaul Sarkar, NIST / IOF.</w:t>
      </w:r>
    </w:p>
    <w:p w14:paraId="5B1BB2AE" w14:textId="77777777" w:rsidR="00652A91" w:rsidRDefault="002A544C">
      <w:pPr>
        <w:pStyle w:val="Heading3"/>
      </w:pPr>
      <w:r>
        <w:t>What The Case Shows</w:t>
      </w:r>
    </w:p>
    <w:p w14:paraId="0339B2BC" w14:textId="77777777" w:rsidR="00652A91" w:rsidRDefault="002A544C">
      <w:r>
        <w:t>Ontology is increasingly relevant to AI governance, supply chain traceability, provenance, and neuro-symbolic systems.</w:t>
      </w:r>
    </w:p>
    <w:p w14:paraId="7D93AF48" w14:textId="77777777" w:rsidR="00652A91" w:rsidRDefault="002A544C">
      <w:pPr>
        <w:pStyle w:val="Heading3"/>
      </w:pPr>
      <w:r>
        <w:t>Business Problem</w:t>
      </w:r>
    </w:p>
    <w:p w14:paraId="29447DDC" w14:textId="77777777" w:rsidR="00652A91" w:rsidRDefault="002A544C">
      <w:r>
        <w:t>Industrial AI needs more than prediction. It needs provenance, model tracking, exchangeability, interoperability, and proof mechanisms when decisions are consequential.</w:t>
      </w:r>
    </w:p>
    <w:p w14:paraId="75E84047" w14:textId="77777777" w:rsidR="00652A91" w:rsidRDefault="002A544C">
      <w:pPr>
        <w:pStyle w:val="Heading3"/>
      </w:pPr>
      <w:r>
        <w:t>Semantic Mechanism</w:t>
      </w:r>
    </w:p>
    <w:p w14:paraId="22A52F14" w14:textId="77777777" w:rsidR="00652A91" w:rsidRDefault="002A544C">
      <w:r>
        <w:t>Arkopaul points to several mechanisms:</w:t>
      </w:r>
    </w:p>
    <w:p w14:paraId="41D96614" w14:textId="77777777" w:rsidR="00652A91" w:rsidRDefault="002A544C">
      <w:pPr>
        <w:pStyle w:val="ListBullet"/>
      </w:pPr>
      <w:r>
        <w:t>IOF as a middle-layer ontology based on BFO.</w:t>
      </w:r>
    </w:p>
    <w:p w14:paraId="4988FDF8" w14:textId="77777777" w:rsidR="00652A91" w:rsidRDefault="002A544C">
      <w:pPr>
        <w:pStyle w:val="ListBullet"/>
      </w:pPr>
      <w:r>
        <w:t>NIST work using ontology as metadata for AI models.</w:t>
      </w:r>
    </w:p>
    <w:p w14:paraId="630A8DF3" w14:textId="77777777" w:rsidR="00652A91" w:rsidRDefault="002A544C">
      <w:pPr>
        <w:pStyle w:val="ListBullet"/>
      </w:pPr>
      <w:r>
        <w:t>Semantic support for model exchange, provenance, and usage tracking.</w:t>
      </w:r>
    </w:p>
    <w:p w14:paraId="51A3DE5B" w14:textId="77777777" w:rsidR="00652A91" w:rsidRDefault="002A544C">
      <w:pPr>
        <w:pStyle w:val="ListBullet"/>
      </w:pPr>
      <w:r>
        <w:t>Neuro-symbolic approaches that combine predictive AI, semantic models, computational models, optimization, and simulation.</w:t>
      </w:r>
    </w:p>
    <w:p w14:paraId="7F6D7DD3" w14:textId="77777777" w:rsidR="00652A91" w:rsidRDefault="002A544C">
      <w:pPr>
        <w:pStyle w:val="Heading3"/>
      </w:pPr>
      <w:r>
        <w:t>Value Signal</w:t>
      </w:r>
    </w:p>
    <w:p w14:paraId="7B7E2EA9" w14:textId="77777777" w:rsidR="00652A91" w:rsidRDefault="002A544C">
      <w:r>
        <w:t>The value is governed AI. Ontology helps define what a model is, how it is used, where it came from, what it can be exchanged with, and what proof structure supports a decision.</w:t>
      </w:r>
    </w:p>
    <w:p w14:paraId="37DA2516" w14:textId="77777777" w:rsidR="00652A91" w:rsidRDefault="002A544C">
      <w:pPr>
        <w:pStyle w:val="Heading3"/>
      </w:pPr>
      <w:r>
        <w:t>Relevance For TotalEnergies</w:t>
      </w:r>
    </w:p>
    <w:p w14:paraId="7629BE43" w14:textId="77777777" w:rsidR="00652A91" w:rsidRDefault="002A544C">
      <w:r>
        <w:t>This strengthens the executive message that SKG acts as a control layer for AI-readiness, provenance, semantic proof, and federated decision support. For LifeX, this means AI agents should consume governed concepts and evidence rather than infer critical meanings from raw text alone.</w:t>
      </w:r>
    </w:p>
    <w:p w14:paraId="6395A8FE" w14:textId="77777777" w:rsidR="00652A91" w:rsidRDefault="002A544C">
      <w:pPr>
        <w:pStyle w:val="Heading3"/>
      </w:pPr>
      <w:r>
        <w:t>Evidence From Transcript</w:t>
      </w:r>
    </w:p>
    <w:p w14:paraId="58C6C80E" w14:textId="77777777" w:rsidR="00652A91" w:rsidRDefault="002A544C">
      <w:r>
        <w:t>Arkopaul describes NIST using ontology with AI models to improve exchangeability, interoperability, and provenance. He also states that LLMs are useful for hypotheses, while industrial decisions require proof before action.</w:t>
      </w:r>
    </w:p>
    <w:p w14:paraId="6943D587" w14:textId="77777777" w:rsidR="00652A91" w:rsidRDefault="002A544C">
      <w:pPr>
        <w:pStyle w:val="Heading2"/>
      </w:pPr>
      <w:r>
        <w:t>Cross-Case Implications For TotalEnergies</w:t>
      </w:r>
    </w:p>
    <w:p w14:paraId="083D9F83" w14:textId="77777777" w:rsidR="00652A91" w:rsidRDefault="002A544C">
      <w:pPr>
        <w:pStyle w:val="Heading3"/>
      </w:pPr>
      <w:r>
        <w:t>1. Treat Semantics As Operational Infrastructure</w:t>
      </w:r>
    </w:p>
    <w:p w14:paraId="4A7A1A04" w14:textId="77777777" w:rsidR="00652A91" w:rsidRDefault="002A544C">
      <w:r>
        <w:t>The peer cases show that semantics is valuable when it supports concrete work: planning, engineering reuse, standards extension, model interoperability, AI governance, and knowledge transfer.</w:t>
      </w:r>
    </w:p>
    <w:p w14:paraId="0FEF7554" w14:textId="77777777" w:rsidR="00652A91" w:rsidRDefault="002A544C">
      <w:pPr>
        <w:pStyle w:val="Heading3"/>
      </w:pPr>
      <w:r>
        <w:t>2. Keep The Platform Boundary Clear</w:t>
      </w:r>
    </w:p>
    <w:p w14:paraId="44F7F797" w14:textId="77777777" w:rsidR="00652A91" w:rsidRDefault="002A544C">
      <w:r>
        <w:t>The cases do not suggest replacing operational platforms. They show how a semantic layer can make those platforms interpret shared concepts consistently.</w:t>
      </w:r>
    </w:p>
    <w:p w14:paraId="50282373" w14:textId="77777777" w:rsidR="00652A91" w:rsidRDefault="002A544C">
      <w:pPr>
        <w:pStyle w:val="Heading3"/>
      </w:pPr>
      <w:r>
        <w:t>3. Start With Narrow Reusable Services</w:t>
      </w:r>
    </w:p>
    <w:p w14:paraId="7FD834FA" w14:textId="77777777" w:rsidR="00652A91" w:rsidRDefault="002A544C">
      <w:r>
        <w:t>The strongest examples are not abstract enterprise ontology programs. They are bounded semantic services: CFIHOS+ extensions, a symbol library, scheduling terms, a shared vocabulary, a Semantic Hub, and AI model metadata.</w:t>
      </w:r>
    </w:p>
    <w:p w14:paraId="2E525DA8" w14:textId="77777777" w:rsidR="00652A91" w:rsidRDefault="002A544C">
      <w:pPr>
        <w:pStyle w:val="Heading3"/>
      </w:pPr>
      <w:r>
        <w:t>4. Make LifeX The Management Proof Point</w:t>
      </w:r>
    </w:p>
    <w:p w14:paraId="14E74785" w14:textId="77777777" w:rsidR="00652A91" w:rsidRDefault="002A544C">
      <w:r>
        <w:t>LifeX is the right anchor because it has the same characteristics as the peer cases:</w:t>
      </w:r>
    </w:p>
    <w:p w14:paraId="76B94220" w14:textId="77777777" w:rsidR="00652A91" w:rsidRDefault="002A544C">
      <w:pPr>
        <w:pStyle w:val="ListBullet"/>
      </w:pPr>
      <w:r>
        <w:t>High-value assets.</w:t>
      </w:r>
    </w:p>
    <w:p w14:paraId="6C9693F2" w14:textId="77777777" w:rsidR="00652A91" w:rsidRDefault="002A544C">
      <w:pPr>
        <w:pStyle w:val="ListBullet"/>
      </w:pPr>
      <w:r>
        <w:t>Cross-system evidence.</w:t>
      </w:r>
    </w:p>
    <w:p w14:paraId="54D1137D" w14:textId="77777777" w:rsidR="00652A91" w:rsidRDefault="002A544C">
      <w:pPr>
        <w:pStyle w:val="ListBullet"/>
      </w:pPr>
      <w:r>
        <w:t>Recurring terminology problems.</w:t>
      </w:r>
    </w:p>
    <w:p w14:paraId="7592B9CE" w14:textId="77777777" w:rsidR="00652A91" w:rsidRDefault="002A544C">
      <w:pPr>
        <w:pStyle w:val="ListBullet"/>
      </w:pPr>
      <w:r>
        <w:t>Operational decisions tied to cost, risk, production, and reporting.</w:t>
      </w:r>
    </w:p>
    <w:p w14:paraId="0B5BBEF9" w14:textId="77777777" w:rsidR="00652A91" w:rsidRDefault="002A544C">
      <w:pPr>
        <w:pStyle w:val="ListBullet"/>
      </w:pPr>
      <w:r>
        <w:t>A need for AI and platform consumption without losing governed meaning.</w:t>
      </w:r>
    </w:p>
    <w:p w14:paraId="409AC5BD" w14:textId="77777777" w:rsidR="00652A91" w:rsidRDefault="002A544C">
      <w:pPr>
        <w:pStyle w:val="Heading3"/>
      </w:pPr>
      <w:r>
        <w:t>5. Measure Value Through Reuse And Decision Speed</w:t>
      </w:r>
    </w:p>
    <w:p w14:paraId="7FCB9485" w14:textId="77777777" w:rsidR="00652A91" w:rsidRDefault="002A544C">
      <w:r>
        <w:t>Recommended measures for the next phase:</w:t>
      </w:r>
    </w:p>
    <w:p w14:paraId="475E4E34" w14:textId="77777777" w:rsidR="00652A91" w:rsidRDefault="002A544C">
      <w:pPr>
        <w:pStyle w:val="ListBullet"/>
      </w:pPr>
      <w:r>
        <w:t>Number of reused governed concepts.</w:t>
      </w:r>
    </w:p>
    <w:p w14:paraId="376865E7" w14:textId="77777777" w:rsidR="00652A91" w:rsidRDefault="002A544C">
      <w:pPr>
        <w:pStyle w:val="ListBullet"/>
      </w:pPr>
      <w:r>
        <w:t>Number of source systems or platforms consuming semantic definitions.</w:t>
      </w:r>
    </w:p>
    <w:p w14:paraId="18CD228F" w14:textId="77777777" w:rsidR="00652A91" w:rsidRDefault="002A544C">
      <w:pPr>
        <w:pStyle w:val="ListBullet"/>
      </w:pPr>
      <w:r>
        <w:t>Time to answer competency questions.</w:t>
      </w:r>
    </w:p>
    <w:p w14:paraId="4C636DED" w14:textId="77777777" w:rsidR="00652A91" w:rsidRDefault="002A544C">
      <w:pPr>
        <w:pStyle w:val="ListBullet"/>
      </w:pPr>
      <w:r>
        <w:t>Reduction in manual reconciliation for LifeX reporting.</w:t>
      </w:r>
    </w:p>
    <w:p w14:paraId="2CBBE882" w14:textId="77777777" w:rsidR="00652A91" w:rsidRDefault="002A544C">
      <w:pPr>
        <w:pStyle w:val="ListBullet"/>
      </w:pPr>
      <w:r>
        <w:t>Number of decision-support questions linked to governed evidence.</w:t>
      </w:r>
    </w:p>
    <w:p w14:paraId="0EA6AB60" w14:textId="77777777" w:rsidR="00652A91" w:rsidRDefault="002A544C">
      <w:pPr>
        <w:pStyle w:val="ListBullet"/>
      </w:pPr>
      <w:r>
        <w:t>Number of AI or BI outputs consuming TSF-controlled terms.</w:t>
      </w:r>
    </w:p>
    <w:sectPr w:rsidR="00652A91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7272294">
    <w:abstractNumId w:val="8"/>
  </w:num>
  <w:num w:numId="2" w16cid:durableId="1873417345">
    <w:abstractNumId w:val="6"/>
  </w:num>
  <w:num w:numId="3" w16cid:durableId="84153271">
    <w:abstractNumId w:val="5"/>
  </w:num>
  <w:num w:numId="4" w16cid:durableId="1876114087">
    <w:abstractNumId w:val="4"/>
  </w:num>
  <w:num w:numId="5" w16cid:durableId="961232068">
    <w:abstractNumId w:val="7"/>
  </w:num>
  <w:num w:numId="6" w16cid:durableId="365716137">
    <w:abstractNumId w:val="3"/>
  </w:num>
  <w:num w:numId="7" w16cid:durableId="30495612">
    <w:abstractNumId w:val="2"/>
  </w:num>
  <w:num w:numId="8" w16cid:durableId="1543833364">
    <w:abstractNumId w:val="1"/>
  </w:num>
  <w:num w:numId="9" w16cid:durableId="174417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544C"/>
    <w:rsid w:val="00326F90"/>
    <w:rsid w:val="00652A91"/>
    <w:rsid w:val="00AA1D8D"/>
    <w:rsid w:val="00B47730"/>
    <w:rsid w:val="00B71F0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A093E99-09F1-43E5-BD5D-1C97E531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64B4B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64B4B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72CE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BC9EB0AE3764CB2BAB3A170B8BE87" ma:contentTypeVersion="12" ma:contentTypeDescription="Create a new document." ma:contentTypeScope="" ma:versionID="43f056c547f0138eb986524738e808fe">
  <xsd:schema xmlns:xsd="http://www.w3.org/2001/XMLSchema" xmlns:xs="http://www.w3.org/2001/XMLSchema" xmlns:p="http://schemas.microsoft.com/office/2006/metadata/properties" xmlns:ns2="ea1a7424-8964-4c09-bf6d-7abbb7a983c2" xmlns:ns3="f0efba60-938d-4b65-892d-79b9b7d79103" targetNamespace="http://schemas.microsoft.com/office/2006/metadata/properties" ma:root="true" ma:fieldsID="ecfa3c0a3d3941516bfaa5aa98a78b75" ns2:_="" ns3:_="">
    <xsd:import namespace="ea1a7424-8964-4c09-bf6d-7abbb7a983c2"/>
    <xsd:import namespace="f0efba60-938d-4b65-892d-79b9b7d79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a7424-8964-4c09-bf6d-7abbb7a98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c04131-a3dd-48b1-9899-21c6397bb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fba60-938d-4b65-892d-79b9b7d791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e9af36-63ca-4927-a3ab-9e1956241563}" ma:internalName="TaxCatchAll" ma:showField="CatchAllData" ma:web="f0efba60-938d-4b65-892d-79b9b7d79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1a7424-8964-4c09-bf6d-7abbb7a983c2">
      <Terms xmlns="http://schemas.microsoft.com/office/infopath/2007/PartnerControls"/>
    </lcf76f155ced4ddcb4097134ff3c332f>
    <TaxCatchAll xmlns="f0efba60-938d-4b65-892d-79b9b7d7910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959436-BA72-46C1-9CC5-EF245FCD2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a7424-8964-4c09-bf6d-7abbb7a983c2"/>
    <ds:schemaRef ds:uri="f0efba60-938d-4b65-892d-79b9b7d79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7B6F70-7B65-4228-8DCE-1AA56DCCA4BE}">
  <ds:schemaRefs>
    <ds:schemaRef ds:uri="http://schemas.microsoft.com/office/2006/metadata/properties"/>
    <ds:schemaRef ds:uri="http://schemas.microsoft.com/office/infopath/2007/PartnerControls"/>
    <ds:schemaRef ds:uri="ea1a7424-8964-4c09-bf6d-7abbb7a983c2"/>
    <ds:schemaRef ds:uri="f0efba60-938d-4b65-892d-79b9b7d79103"/>
  </ds:schemaRefs>
</ds:datastoreItem>
</file>

<file path=customXml/itemProps4.xml><?xml version="1.0" encoding="utf-8"?>
<ds:datastoreItem xmlns:ds="http://schemas.openxmlformats.org/officeDocument/2006/customXml" ds:itemID="{EB2FDF2C-4CB2-4309-99FA-50A810ED8F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1730</Words>
  <Characters>9867</Characters>
  <Application>Microsoft Office Word</Application>
  <DocSecurity>0</DocSecurity>
  <Lines>82</Lines>
  <Paragraphs>23</Paragraphs>
  <ScaleCrop>false</ScaleCrop>
  <Manager/>
  <Company/>
  <LinksUpToDate>false</LinksUpToDate>
  <CharactersWithSpaces>11574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TotalEnergies SKG Voice of Peers Case Study Summaries</dc:title>
  <dc:subject>TotalEnergies SKG Voice of Peers</dc:subject>
  <dc:creator>Forvis Mazars</dc:creator>
  <cp:keywords/>
  <dc:description>generated by python-docx</dc:description>
  <cp:lastModifiedBy>Jeremy Ravenel</cp:lastModifiedBy>
  <cp:revision>2</cp:revision>
  <dcterms:created xsi:type="dcterms:W3CDTF">2026-06-05T08:57:00Z</dcterms:created>
  <dcterms:modified xsi:type="dcterms:W3CDTF">2026-06-05T08:57:00Z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0x010100588BC9EB0AE3764CB2BAB3A170B8BE87</vt:lpwstr>
  </property>
  <property fmtid="{D5CDD505-2E9C-101B-9397-08002B2CF9AE}" pid="3" name="MediaServiceImageTags">
    <vt:lpwstr/>
  </property>
</Properties>
</file>