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2B5C1" w14:textId="77777777" w:rsidR="005D67A1" w:rsidRDefault="000B075A">
      <w:pPr>
        <w:pStyle w:val="Title"/>
        <w:spacing w:after="160"/>
      </w:pPr>
      <w:r>
        <w:t>Semantic Knowledge Graphs and Ontologies at TotalEnergies</w:t>
      </w:r>
    </w:p>
    <w:p w14:paraId="27F8C0A0" w14:textId="77777777" w:rsidR="005D67A1" w:rsidRDefault="000B075A">
      <w:pPr>
        <w:pStyle w:val="Heading1"/>
        <w:spacing w:before="200" w:after="80"/>
      </w:pPr>
      <w:r>
        <w:t>Use Case Showcase</w:t>
      </w:r>
    </w:p>
    <w:p w14:paraId="3305C69A" w14:textId="77777777" w:rsidR="005D67A1" w:rsidRDefault="000B075A">
      <w:pPr>
        <w:spacing w:after="80"/>
      </w:pPr>
      <w:r>
        <w:t>This showcase expands the executive deck into three concrete scenarios. Each scenario explains the current situation, the semantic knowledge graph (SKG) contribution, the operational change, and the benefits to validate.</w:t>
      </w:r>
    </w:p>
    <w:p w14:paraId="7E9F6AD4" w14:textId="77777777" w:rsidR="005D67A1" w:rsidRDefault="000B075A">
      <w:pPr>
        <w:spacing w:after="80"/>
      </w:pPr>
      <w:r>
        <w:t>The examples are designed for management discussion. Quantified benefits are framed as validation hypotheses until the LifeX scope, source systems, baseline effort, and target decision outputs are confirmed.</w:t>
      </w:r>
    </w:p>
    <w:p w14:paraId="225E3F6E" w14:textId="77777777" w:rsidR="005D67A1" w:rsidRDefault="000B075A">
      <w:pPr>
        <w:pStyle w:val="Heading1"/>
        <w:spacing w:before="200" w:after="80"/>
      </w:pPr>
      <w:r>
        <w:t>Executive View</w:t>
      </w:r>
    </w:p>
    <w:p w14:paraId="102ADBC9" w14:textId="77777777" w:rsidR="005D67A1" w:rsidRDefault="000B075A">
      <w:pPr>
        <w:spacing w:after="80"/>
      </w:pPr>
      <w:r>
        <w:t>The executive deck positions LifeX as the first production focal point for the TotalEnergies Semantic Framework (TSF) and SousLeSens because it combines high-value FPSO assets, fragmented evidence, cross-FPSO comparison needs, and direct CAPEX / OPEX decisions.</w:t>
      </w:r>
    </w:p>
    <w:p w14:paraId="6C734A18" w14:textId="77777777" w:rsidR="005D67A1" w:rsidRDefault="000B075A">
      <w:pPr>
        <w:spacing w:after="80"/>
      </w:pPr>
      <w:r>
        <w:t>The showcase focuses on three scenarios:</w:t>
      </w:r>
    </w:p>
    <w:p w14:paraId="2D684959" w14:textId="77777777" w:rsidR="005D67A1" w:rsidRDefault="000B075A">
      <w:pPr>
        <w:pStyle w:val="ListBullet"/>
        <w:spacing w:after="20"/>
      </w:pPr>
      <w:r>
        <w:t>Scenario 1: LifeX inspection evidence to investment decision.</w:t>
      </w:r>
    </w:p>
    <w:p w14:paraId="1157EFCD" w14:textId="77777777" w:rsidR="005D67A1" w:rsidRDefault="000B075A">
      <w:pPr>
        <w:pStyle w:val="ListBullet"/>
        <w:spacing w:after="20"/>
      </w:pPr>
      <w:r>
        <w:t>Scenario 2: TSF semantic control layer across Cognite, Collibra, Fabric, Power BI, and operational systems.</w:t>
      </w:r>
    </w:p>
    <w:p w14:paraId="498C399B" w14:textId="77777777" w:rsidR="005D67A1" w:rsidRDefault="000B075A">
      <w:pPr>
        <w:pStyle w:val="ListBullet"/>
        <w:spacing w:after="20"/>
      </w:pPr>
      <w:r>
        <w:t>Scenario 3: AI-assisted decision support grounded in governed semantics.</w:t>
      </w:r>
    </w:p>
    <w:p w14:paraId="610EE743" w14:textId="77777777" w:rsidR="005D67A1" w:rsidRDefault="000B075A">
      <w:pPr>
        <w:pStyle w:val="Heading3"/>
        <w:spacing w:before="120" w:after="40"/>
      </w:pPr>
      <w:r>
        <w:t>Key Terms Used</w:t>
      </w:r>
    </w:p>
    <w:p w14:paraId="77A191FB" w14:textId="77777777" w:rsidR="005D67A1" w:rsidRDefault="000B075A">
      <w:pPr>
        <w:pStyle w:val="ListBullet"/>
        <w:spacing w:after="20"/>
      </w:pPr>
      <w:r>
        <w:t>TSF: TotalEnergies Semantic Framework, the governed semantic foundation for industrial concepts, rules, mappings, and standards alignment.</w:t>
      </w:r>
    </w:p>
    <w:p w14:paraId="76C7ED44" w14:textId="77777777" w:rsidR="005D67A1" w:rsidRDefault="000B075A">
      <w:pPr>
        <w:pStyle w:val="ListBullet"/>
        <w:spacing w:after="20"/>
      </w:pPr>
      <w:r>
        <w:t>SousLeSens: open-source ontology management and graph exploration platform financed by TotalEnergies.</w:t>
      </w:r>
    </w:p>
    <w:p w14:paraId="7F88B033" w14:textId="77777777" w:rsidR="005D67A1" w:rsidRDefault="000B075A">
      <w:pPr>
        <w:pStyle w:val="ListBullet"/>
        <w:spacing w:after="20"/>
      </w:pPr>
      <w:r>
        <w:t>SKG: semantic knowledge graph, a graph that connects data to formal meaning, rules, and provenance.</w:t>
      </w:r>
    </w:p>
    <w:p w14:paraId="36E5F1E3" w14:textId="77777777" w:rsidR="005D67A1" w:rsidRDefault="000B075A">
      <w:pPr>
        <w:pStyle w:val="ListBullet"/>
        <w:spacing w:after="20"/>
      </w:pPr>
      <w:r>
        <w:t>BFO: Basic Formal Ontology, an ISO top-level ontology used to model entities, processes, qualities, information, and impacts consistently.</w:t>
      </w:r>
    </w:p>
    <w:p w14:paraId="08353151" w14:textId="77777777" w:rsidR="005D67A1" w:rsidRDefault="000B075A">
      <w:pPr>
        <w:pStyle w:val="ListBullet"/>
        <w:spacing w:after="20"/>
      </w:pPr>
      <w:r>
        <w:t>IOF: Industrial Ontologies Foundry, an industrial ontology initiative used as a reference point for interoperable manufacturing and engineering concepts.</w:t>
      </w:r>
    </w:p>
    <w:p w14:paraId="3683A748" w14:textId="77777777" w:rsidR="005D67A1" w:rsidRDefault="000B075A">
      <w:pPr>
        <w:pStyle w:val="Heading1"/>
        <w:spacing w:before="200" w:after="80"/>
      </w:pPr>
      <w:r>
        <w:t>Scenario 1: LifeX Inspection Evidence To Investment Decision</w:t>
      </w:r>
    </w:p>
    <w:p w14:paraId="7E248A01" w14:textId="77777777" w:rsidR="005D67A1" w:rsidRDefault="000B075A">
      <w:pPr>
        <w:pStyle w:val="Heading3"/>
        <w:spacing w:before="120" w:after="40"/>
      </w:pPr>
      <w:r>
        <w:t>Management Question</w:t>
      </w:r>
    </w:p>
    <w:p w14:paraId="75FE10E8" w14:textId="77777777" w:rsidR="005D67A1" w:rsidRDefault="000B075A">
      <w:pPr>
        <w:spacing w:after="80"/>
      </w:pPr>
      <w:r>
        <w:t>Which FPSO assets, equipment families, or tags are degrading faster than expected, and what does this change in the LifeX investment plan?</w:t>
      </w:r>
    </w:p>
    <w:p w14:paraId="236633D7" w14:textId="77777777" w:rsidR="005D67A1" w:rsidRDefault="000B075A">
      <w:pPr>
        <w:pStyle w:val="Heading3"/>
        <w:spacing w:before="120" w:after="40"/>
      </w:pPr>
      <w:r>
        <w:t>Current Situation</w:t>
      </w:r>
    </w:p>
    <w:p w14:paraId="6E700F79" w14:textId="77777777" w:rsidR="005D67A1" w:rsidRDefault="000B075A">
      <w:pPr>
        <w:spacing w:after="80"/>
      </w:pPr>
      <w:r>
        <w:t>LifeX combines a long asset life-extension horizon with fragmented operational evidence. Inspection observations, technical documents, work orders, notifications, costs, planning data, Excel files, dashboards, and reports all contribute to the decision, but they are hard to navigate as one coherent decision chain.</w:t>
      </w:r>
    </w:p>
    <w:p w14:paraId="5E2481D3" w14:textId="77777777" w:rsidR="005D67A1" w:rsidRDefault="000B075A">
      <w:pPr>
        <w:spacing w:after="80"/>
      </w:pPr>
      <w:r>
        <w:t>In the current workflow, an inspection finding can move through field notes, photos, emails, Excel, Alteryx, Power BI, and a management memo. The business question then becomes hard to answer at decision speed: which similar equipment exists on Dalia, Pazflor, Girassol, or CLOV, and what should change in the plan?</w:t>
      </w:r>
    </w:p>
    <w:p w14:paraId="56A96C90" w14:textId="77777777" w:rsidR="005D67A1" w:rsidRDefault="000B075A">
      <w:pPr>
        <w:pStyle w:val="Heading3"/>
        <w:spacing w:before="120" w:after="40"/>
      </w:pPr>
      <w:r>
        <w:t>With SKG</w:t>
      </w:r>
    </w:p>
    <w:p w14:paraId="5582E9A4" w14:textId="77777777" w:rsidR="005D67A1" w:rsidRDefault="000B075A">
      <w:pPr>
        <w:spacing w:after="80"/>
      </w:pPr>
      <w:r>
        <w:t>The LifeX semantic graph connects the operational evidence to governed meaning:</w:t>
      </w:r>
    </w:p>
    <w:p w14:paraId="48FE3FF0" w14:textId="77777777" w:rsidR="005D67A1" w:rsidRDefault="000B075A">
      <w:pPr>
        <w:pStyle w:val="ListBullet"/>
        <w:spacing w:after="20"/>
      </w:pPr>
      <w:r>
        <w:t>Inspection observation: photo, report, PDF, field note.</w:t>
      </w:r>
    </w:p>
    <w:p w14:paraId="6D6D1DC1" w14:textId="77777777" w:rsidR="005D67A1" w:rsidRDefault="000B075A">
      <w:pPr>
        <w:pStyle w:val="ListBullet"/>
        <w:spacing w:after="20"/>
      </w:pPr>
      <w:r>
        <w:t>Equipment or functional location: TSF concept aligned to BFO / IOF.</w:t>
      </w:r>
    </w:p>
    <w:p w14:paraId="2E807D03" w14:textId="77777777" w:rsidR="005D67A1" w:rsidRDefault="000B075A">
      <w:pPr>
        <w:pStyle w:val="ListBullet"/>
        <w:spacing w:after="20"/>
      </w:pPr>
      <w:r>
        <w:t>Work order or notification: SAP, JCDB, or other operational systems.</w:t>
      </w:r>
    </w:p>
    <w:p w14:paraId="689C01E3" w14:textId="77777777" w:rsidR="005D67A1" w:rsidRDefault="000B075A">
      <w:pPr>
        <w:pStyle w:val="ListBullet"/>
        <w:spacing w:after="20"/>
      </w:pPr>
      <w:r>
        <w:t>Technical documentation: engineering records and document repositories.</w:t>
      </w:r>
    </w:p>
    <w:p w14:paraId="3C73EE9E" w14:textId="77777777" w:rsidR="005D67A1" w:rsidRDefault="000B075A">
      <w:pPr>
        <w:pStyle w:val="ListBullet"/>
        <w:spacing w:after="20"/>
      </w:pPr>
      <w:r>
        <w:lastRenderedPageBreak/>
        <w:t>Cost, risk, and schedule: CAPEX / OPEX / integrity impact.</w:t>
      </w:r>
    </w:p>
    <w:p w14:paraId="58899D29" w14:textId="77777777" w:rsidR="005D67A1" w:rsidRDefault="000B075A">
      <w:pPr>
        <w:pStyle w:val="ListBullet"/>
        <w:spacing w:after="20"/>
      </w:pPr>
      <w:r>
        <w:t>Decision rationale: traceable link from field evidence to management recommendation.</w:t>
      </w:r>
    </w:p>
    <w:p w14:paraId="2FADEF87" w14:textId="77777777" w:rsidR="005D67A1" w:rsidRDefault="000B075A">
      <w:pPr>
        <w:spacing w:after="80"/>
      </w:pPr>
      <w:r>
        <w:t>This turns a local observation into a reusable comparison pattern across FPSOs, even when equipment tags or naming conventions differ.</w:t>
      </w:r>
    </w:p>
    <w:p w14:paraId="081355D3" w14:textId="77777777" w:rsidR="005D67A1" w:rsidRDefault="000B075A">
      <w:pPr>
        <w:pStyle w:val="Heading3"/>
        <w:spacing w:before="120" w:after="40"/>
      </w:pPr>
      <w:r>
        <w:t>Before / After</w:t>
      </w:r>
    </w:p>
    <w:p w14:paraId="222A412C" w14:textId="77777777" w:rsidR="005D67A1" w:rsidRDefault="000B075A">
      <w:pPr>
        <w:spacing w:after="80"/>
      </w:pPr>
      <w:r>
        <w:t>Before:</w:t>
      </w:r>
    </w:p>
    <w:p w14:paraId="42F45DAE" w14:textId="77777777" w:rsidR="005D67A1" w:rsidRDefault="000B075A">
      <w:pPr>
        <w:pStyle w:val="ListBullet"/>
        <w:spacing w:after="20"/>
      </w:pPr>
      <w:r>
        <w:t>Similar equipment checks depend on manual reconciliation.</w:t>
      </w:r>
    </w:p>
    <w:p w14:paraId="0EEA8A92" w14:textId="77777777" w:rsidR="005D67A1" w:rsidRDefault="000B075A">
      <w:pPr>
        <w:pStyle w:val="ListBullet"/>
        <w:spacing w:after="20"/>
      </w:pPr>
      <w:r>
        <w:t>Analysts spend time aligning tags, documents, inspection records, and dashboard outputs.</w:t>
      </w:r>
    </w:p>
    <w:p w14:paraId="4E10A918" w14:textId="77777777" w:rsidR="005D67A1" w:rsidRDefault="000B075A">
      <w:pPr>
        <w:pStyle w:val="ListBullet"/>
        <w:spacing w:after="20"/>
      </w:pPr>
      <w:r>
        <w:t>The path from observation to Investment-ready rationale is difficult to audit.</w:t>
      </w:r>
    </w:p>
    <w:p w14:paraId="1ADA121E" w14:textId="77777777" w:rsidR="005D67A1" w:rsidRDefault="000B075A">
      <w:pPr>
        <w:pStyle w:val="ListBullet"/>
        <w:spacing w:after="20"/>
      </w:pPr>
      <w:r>
        <w:t>Lessons from one FPSO can remain local.</w:t>
      </w:r>
    </w:p>
    <w:p w14:paraId="4FEB44A0" w14:textId="77777777" w:rsidR="005D67A1" w:rsidRDefault="000B075A">
      <w:pPr>
        <w:spacing w:after="80"/>
      </w:pPr>
      <w:r>
        <w:t>With SKG:</w:t>
      </w:r>
    </w:p>
    <w:p w14:paraId="51102BBA" w14:textId="77777777" w:rsidR="005D67A1" w:rsidRDefault="000B075A">
      <w:pPr>
        <w:pStyle w:val="ListBullet"/>
        <w:spacing w:after="20"/>
      </w:pPr>
      <w:r>
        <w:t>Inspection observations become semantic events linked to equipment, conditions, rules, and impacts.</w:t>
      </w:r>
    </w:p>
    <w:p w14:paraId="4A23BF5F" w14:textId="77777777" w:rsidR="005D67A1" w:rsidRDefault="000B075A">
      <w:pPr>
        <w:pStyle w:val="ListBullet"/>
        <w:spacing w:after="20"/>
      </w:pPr>
      <w:r>
        <w:t>Similar equipment patterns can be found across FPSOs through shared concepts rather than tag names alone.</w:t>
      </w:r>
    </w:p>
    <w:p w14:paraId="64F5EC64" w14:textId="77777777" w:rsidR="005D67A1" w:rsidRDefault="000B075A">
      <w:pPr>
        <w:pStyle w:val="ListBullet"/>
        <w:spacing w:after="20"/>
      </w:pPr>
      <w:r>
        <w:t>Investment decisions can be traced from observation to concept, rule, risk, cost, and recommendation.</w:t>
      </w:r>
    </w:p>
    <w:p w14:paraId="5E935F43" w14:textId="77777777" w:rsidR="005D67A1" w:rsidRDefault="000B075A">
      <w:pPr>
        <w:pStyle w:val="ListBullet"/>
        <w:spacing w:after="20"/>
      </w:pPr>
      <w:r>
        <w:t>Reusable patterns support learning from one FPSO to the next.</w:t>
      </w:r>
    </w:p>
    <w:p w14:paraId="3C9CAF86" w14:textId="77777777" w:rsidR="005D67A1" w:rsidRDefault="000B075A">
      <w:pPr>
        <w:pStyle w:val="Heading3"/>
        <w:spacing w:before="120" w:after="40"/>
      </w:pPr>
      <w:r>
        <w:t>Benefits To Validate</w:t>
      </w:r>
    </w:p>
    <w:p w14:paraId="6BB42B6C" w14:textId="77777777" w:rsidR="005D67A1" w:rsidRDefault="000B075A">
      <w:pPr>
        <w:spacing w:after="80"/>
      </w:pPr>
      <w:r>
        <w:t>The LifeX investment plan is a high-value decision cycle. The working value hypothesis is that better detection of similar degradation patterns and stronger investment rationale can reduce both over-investment and under-maintenance risk.</w:t>
      </w:r>
    </w:p>
    <w:p w14:paraId="67B2C5DA" w14:textId="77777777" w:rsidR="005D67A1" w:rsidRDefault="000B075A">
      <w:pPr>
        <w:spacing w:after="80"/>
      </w:pPr>
      <w:r>
        <w:t>Benefits to validate:</w:t>
      </w:r>
    </w:p>
    <w:p w14:paraId="21AFC694" w14:textId="77777777" w:rsidR="005D67A1" w:rsidRDefault="000B075A">
      <w:pPr>
        <w:pStyle w:val="ListBullet"/>
        <w:spacing w:after="20"/>
      </w:pPr>
      <w:r>
        <w:t>Reduce COMEX preparation from days to hours for targeted decision packages.</w:t>
      </w:r>
    </w:p>
    <w:p w14:paraId="241AC2DF" w14:textId="77777777" w:rsidR="005D67A1" w:rsidRDefault="000B075A">
      <w:pPr>
        <w:pStyle w:val="ListBullet"/>
        <w:spacing w:after="20"/>
      </w:pPr>
      <w:r>
        <w:t>Reduce manual reconciliation effort across inspection evidence, dashboards, and reports.</w:t>
      </w:r>
    </w:p>
    <w:p w14:paraId="69C4EABC" w14:textId="77777777" w:rsidR="005D67A1" w:rsidRDefault="000B075A">
      <w:pPr>
        <w:pStyle w:val="ListBullet"/>
        <w:spacing w:after="20"/>
      </w:pPr>
      <w:r>
        <w:t>Identify cross-FPSO similar equipment patterns earlier.</w:t>
      </w:r>
    </w:p>
    <w:p w14:paraId="15518D73" w14:textId="77777777" w:rsidR="005D67A1" w:rsidRDefault="000B075A">
      <w:pPr>
        <w:pStyle w:val="ListBullet"/>
        <w:spacing w:after="20"/>
      </w:pPr>
      <w:r>
        <w:t>Improve traceability from field evidence to CAPEX / OPEX decision.</w:t>
      </w:r>
    </w:p>
    <w:p w14:paraId="6CA5E871" w14:textId="77777777" w:rsidR="005D67A1" w:rsidRDefault="000B075A">
      <w:pPr>
        <w:pStyle w:val="ListBullet"/>
        <w:spacing w:after="20"/>
      </w:pPr>
      <w:r>
        <w:t>Use the scenario estimate as a value range: a 2-5% improvement on a $2B LifeX plan would represent $40-100M in avoided over-investment or under-maintenance risk.</w:t>
      </w:r>
    </w:p>
    <w:p w14:paraId="2D68529D" w14:textId="77777777" w:rsidR="005D67A1" w:rsidRDefault="000B075A">
      <w:pPr>
        <w:pStyle w:val="Heading3"/>
        <w:spacing w:before="120" w:after="40"/>
      </w:pPr>
      <w:r>
        <w:t>Measures Of Success</w:t>
      </w:r>
    </w:p>
    <w:p w14:paraId="4A37AA15" w14:textId="77777777" w:rsidR="005D67A1" w:rsidRDefault="000B075A">
      <w:pPr>
        <w:pStyle w:val="ListBullet"/>
        <w:spacing w:after="20"/>
      </w:pPr>
      <w:r>
        <w:t>Number of LifeX decision questions answered through the graph.</w:t>
      </w:r>
    </w:p>
    <w:p w14:paraId="3AD1270F" w14:textId="77777777" w:rsidR="005D67A1" w:rsidRDefault="000B075A">
      <w:pPr>
        <w:pStyle w:val="ListBullet"/>
        <w:spacing w:after="20"/>
      </w:pPr>
      <w:r>
        <w:t>Number of FPSOs included in reusable comparison patterns.</w:t>
      </w:r>
    </w:p>
    <w:p w14:paraId="756E3EF6" w14:textId="77777777" w:rsidR="005D67A1" w:rsidRDefault="000B075A">
      <w:pPr>
        <w:pStyle w:val="ListBullet"/>
        <w:spacing w:after="20"/>
      </w:pPr>
      <w:r>
        <w:t>Percentage of priority equipment families / tags mapped to governed concepts.</w:t>
      </w:r>
    </w:p>
    <w:p w14:paraId="14DA68ED" w14:textId="77777777" w:rsidR="005D67A1" w:rsidRDefault="000B075A">
      <w:pPr>
        <w:pStyle w:val="ListBullet"/>
        <w:spacing w:after="20"/>
      </w:pPr>
      <w:r>
        <w:t>Time required to prepare a management decision package.</w:t>
      </w:r>
    </w:p>
    <w:p w14:paraId="61BC75FD" w14:textId="77777777" w:rsidR="005D67A1" w:rsidRDefault="000B075A">
      <w:pPr>
        <w:pStyle w:val="ListBullet"/>
        <w:spacing w:after="20"/>
      </w:pPr>
      <w:r>
        <w:t>Percentage of COMEX recommendations with a traceable evidence chain.</w:t>
      </w:r>
    </w:p>
    <w:p w14:paraId="1A8B871A" w14:textId="77777777" w:rsidR="005D67A1" w:rsidRDefault="000B075A">
      <w:pPr>
        <w:pStyle w:val="Heading3"/>
        <w:spacing w:before="120" w:after="40"/>
      </w:pPr>
      <w:r>
        <w:t>Validation Focus</w:t>
      </w:r>
    </w:p>
    <w:p w14:paraId="62CD4A69" w14:textId="77777777" w:rsidR="005D67A1" w:rsidRDefault="000B075A">
      <w:pPr>
        <w:spacing w:after="80"/>
      </w:pPr>
      <w:r>
        <w:t>TSF, LifeX operational owners, and platform owners should validate the first signed decision questions, the initial equipment scope, the source systems, and the management output format.</w:t>
      </w:r>
    </w:p>
    <w:p w14:paraId="2897A5CA" w14:textId="77777777" w:rsidR="005D67A1" w:rsidRDefault="000B075A">
      <w:pPr>
        <w:pStyle w:val="Heading1"/>
        <w:spacing w:before="200" w:after="80"/>
      </w:pPr>
      <w:r>
        <w:t>Scenario 2: Semantic Control Layer Across Platforms</w:t>
      </w:r>
    </w:p>
    <w:p w14:paraId="2B256B61" w14:textId="77777777" w:rsidR="005D67A1" w:rsidRDefault="000B075A">
      <w:pPr>
        <w:pStyle w:val="Heading3"/>
        <w:spacing w:before="120" w:after="40"/>
      </w:pPr>
      <w:r>
        <w:t>Management Question</w:t>
      </w:r>
    </w:p>
    <w:p w14:paraId="5855D685" w14:textId="77777777" w:rsidR="005D67A1" w:rsidRDefault="000B075A">
      <w:pPr>
        <w:spacing w:after="80"/>
      </w:pPr>
      <w:r>
        <w:t>How can TotalEnergies keep Cognite, Collibra, Fabric, Power BI, Alteryx, and operational applications aligned around the same business meaning?</w:t>
      </w:r>
    </w:p>
    <w:p w14:paraId="720C7ED9" w14:textId="77777777" w:rsidR="005D67A1" w:rsidRDefault="000B075A">
      <w:pPr>
        <w:pStyle w:val="Heading3"/>
        <w:spacing w:before="120" w:after="40"/>
      </w:pPr>
      <w:r>
        <w:t>Current Situation</w:t>
      </w:r>
    </w:p>
    <w:p w14:paraId="4454594E" w14:textId="77777777" w:rsidR="005D67A1" w:rsidRDefault="000B075A">
      <w:pPr>
        <w:spacing w:after="80"/>
      </w:pPr>
      <w:r>
        <w:t>Each platform can add value in its own layer:</w:t>
      </w:r>
    </w:p>
    <w:p w14:paraId="2281C20E" w14:textId="77777777" w:rsidR="005D67A1" w:rsidRDefault="000B075A">
      <w:pPr>
        <w:pStyle w:val="ListBullet"/>
        <w:spacing w:after="20"/>
      </w:pPr>
      <w:r>
        <w:t>Cognite contextualizes industrial data and operational graphs.</w:t>
      </w:r>
    </w:p>
    <w:p w14:paraId="6547AE03" w14:textId="77777777" w:rsidR="005D67A1" w:rsidRDefault="000B075A">
      <w:pPr>
        <w:pStyle w:val="ListBullet"/>
        <w:spacing w:after="20"/>
      </w:pPr>
      <w:r>
        <w:t>Collibra supports data catalog, lineage, and governance.</w:t>
      </w:r>
    </w:p>
    <w:p w14:paraId="4E6E13FD" w14:textId="77777777" w:rsidR="005D67A1" w:rsidRDefault="000B075A">
      <w:pPr>
        <w:pStyle w:val="ListBullet"/>
        <w:spacing w:after="20"/>
      </w:pPr>
      <w:r>
        <w:t>Fabric and Power BI support analytics and reporting.</w:t>
      </w:r>
    </w:p>
    <w:p w14:paraId="2D020A8B" w14:textId="77777777" w:rsidR="005D67A1" w:rsidRDefault="000B075A">
      <w:pPr>
        <w:pStyle w:val="ListBullet"/>
        <w:spacing w:after="20"/>
      </w:pPr>
      <w:r>
        <w:t>Alteryx supports data preparation workflows.</w:t>
      </w:r>
    </w:p>
    <w:p w14:paraId="27752E67" w14:textId="77777777" w:rsidR="005D67A1" w:rsidRDefault="000B075A">
      <w:pPr>
        <w:pStyle w:val="ListBullet"/>
        <w:spacing w:after="20"/>
      </w:pPr>
      <w:r>
        <w:t>Operational applications remain the systems of record for work, assets, inspections, planning, and documents.</w:t>
      </w:r>
    </w:p>
    <w:p w14:paraId="7FA4A4DE" w14:textId="77777777" w:rsidR="005D67A1" w:rsidRDefault="000B075A">
      <w:pPr>
        <w:spacing w:after="80"/>
      </w:pPr>
      <w:r>
        <w:t>The friction appears when each platform carries its own vocabulary. The same equipment, event, document, cost, risk, or degradation pattern can be represented differently across systems.</w:t>
      </w:r>
    </w:p>
    <w:p w14:paraId="76912BA3" w14:textId="77777777" w:rsidR="005D67A1" w:rsidRDefault="000B075A">
      <w:pPr>
        <w:pStyle w:val="Heading3"/>
        <w:spacing w:before="120" w:after="40"/>
      </w:pPr>
      <w:r>
        <w:t>With SKG</w:t>
      </w:r>
    </w:p>
    <w:p w14:paraId="44BB6638" w14:textId="77777777" w:rsidR="005D67A1" w:rsidRDefault="000B075A">
      <w:pPr>
        <w:spacing w:after="80"/>
      </w:pPr>
      <w:r>
        <w:t>TSF and SousLeSens act as the semantic control layer. They provide governed definitions, equipment classes, process models, mappings, rules, standards links, and evidence structures that platforms can consume.</w:t>
      </w:r>
    </w:p>
    <w:p w14:paraId="0AB2178B" w14:textId="77777777" w:rsidR="005D67A1" w:rsidRDefault="000B075A">
      <w:pPr>
        <w:spacing w:after="80"/>
      </w:pPr>
      <w:r>
        <w:t>The operational data can remain in source systems. The SKG stores governed semantics, identifiers, mappings, rules, curated graph data, and evidence links. Federated queries translate decision terms into source-specific identifiers and fields, reach the relevant APIs or query endpoints, and return results with provenance.</w:t>
      </w:r>
    </w:p>
    <w:p w14:paraId="6455F1AB" w14:textId="77777777" w:rsidR="005D67A1" w:rsidRDefault="000B075A">
      <w:pPr>
        <w:pStyle w:val="Heading3"/>
        <w:spacing w:before="120" w:after="40"/>
      </w:pPr>
      <w:r>
        <w:t>Before / After</w:t>
      </w:r>
    </w:p>
    <w:p w14:paraId="5ADD621C" w14:textId="77777777" w:rsidR="005D67A1" w:rsidRDefault="000B075A">
      <w:pPr>
        <w:spacing w:after="80"/>
      </w:pPr>
      <w:r>
        <w:t>Before:</w:t>
      </w:r>
    </w:p>
    <w:p w14:paraId="5A1C34F5" w14:textId="77777777" w:rsidR="005D67A1" w:rsidRDefault="000B075A">
      <w:pPr>
        <w:pStyle w:val="ListBullet"/>
        <w:spacing w:after="20"/>
      </w:pPr>
      <w:r>
        <w:t>Cognite, Collibra, Fabric, dashboards, and operational systems may use different definitions for similar business concepts.</w:t>
      </w:r>
    </w:p>
    <w:p w14:paraId="45642042" w14:textId="77777777" w:rsidR="005D67A1" w:rsidRDefault="000B075A">
      <w:pPr>
        <w:pStyle w:val="ListBullet"/>
        <w:spacing w:after="20"/>
      </w:pPr>
      <w:r>
        <w:t>Data products require repeated mapping work.</w:t>
      </w:r>
    </w:p>
    <w:p w14:paraId="5DCD9DAA" w14:textId="77777777" w:rsidR="005D67A1" w:rsidRDefault="000B075A">
      <w:pPr>
        <w:pStyle w:val="ListBullet"/>
        <w:spacing w:after="20"/>
      </w:pPr>
      <w:r>
        <w:t>Governance and reporting can remain disconnected from process meaning.</w:t>
      </w:r>
    </w:p>
    <w:p w14:paraId="39146EC2" w14:textId="77777777" w:rsidR="005D67A1" w:rsidRDefault="000B075A">
      <w:pPr>
        <w:pStyle w:val="ListBullet"/>
        <w:spacing w:after="20"/>
      </w:pPr>
      <w:r>
        <w:t>Platform discussions risk becoming tool comparisons instead of decision architecture.</w:t>
      </w:r>
    </w:p>
    <w:p w14:paraId="4D679DA1" w14:textId="77777777" w:rsidR="005D67A1" w:rsidRDefault="000B075A">
      <w:pPr>
        <w:spacing w:after="80"/>
      </w:pPr>
      <w:r>
        <w:t>With SKG:</w:t>
      </w:r>
    </w:p>
    <w:p w14:paraId="6D79D212" w14:textId="77777777" w:rsidR="005D67A1" w:rsidRDefault="000B075A">
      <w:pPr>
        <w:pStyle w:val="ListBullet"/>
        <w:spacing w:after="20"/>
      </w:pPr>
      <w:r>
        <w:t>TSF provides shared concepts and mappings that each platform can consume.</w:t>
      </w:r>
    </w:p>
    <w:p w14:paraId="14CDCB93" w14:textId="77777777" w:rsidR="005D67A1" w:rsidRDefault="000B075A">
      <w:pPr>
        <w:pStyle w:val="ListBullet"/>
        <w:spacing w:after="20"/>
      </w:pPr>
      <w:r>
        <w:t>Cognite can align operational graph objects to governed equipment classes.</w:t>
      </w:r>
    </w:p>
    <w:p w14:paraId="5325F6DE" w14:textId="77777777" w:rsidR="005D67A1" w:rsidRDefault="000B075A">
      <w:pPr>
        <w:pStyle w:val="ListBullet"/>
        <w:spacing w:after="20"/>
      </w:pPr>
      <w:r>
        <w:t>Collibra can catalog data products with TSF concept references.</w:t>
      </w:r>
    </w:p>
    <w:p w14:paraId="3B0D5B10" w14:textId="77777777" w:rsidR="005D67A1" w:rsidRDefault="000B075A">
      <w:pPr>
        <w:pStyle w:val="ListBullet"/>
        <w:spacing w:after="20"/>
      </w:pPr>
      <w:r>
        <w:t>Fabric and Power BI can consume decision-ready outputs with traceable definitions.</w:t>
      </w:r>
    </w:p>
    <w:p w14:paraId="24079D44" w14:textId="77777777" w:rsidR="005D67A1" w:rsidRDefault="000B075A">
      <w:pPr>
        <w:pStyle w:val="ListBullet"/>
        <w:spacing w:after="20"/>
      </w:pPr>
      <w:r>
        <w:t>AI agents and analytics workflows can use the same governed meaning.</w:t>
      </w:r>
    </w:p>
    <w:p w14:paraId="7A70B9AC" w14:textId="77777777" w:rsidR="005D67A1" w:rsidRDefault="000B075A">
      <w:pPr>
        <w:pStyle w:val="Heading3"/>
        <w:spacing w:before="120" w:after="40"/>
      </w:pPr>
      <w:r>
        <w:t>Benefits To Validate</w:t>
      </w:r>
    </w:p>
    <w:p w14:paraId="5E7118FC" w14:textId="77777777" w:rsidR="005D67A1" w:rsidRDefault="000B075A">
      <w:pPr>
        <w:spacing w:after="80"/>
      </w:pPr>
      <w:r>
        <w:t>This scenario should be measured through reuse and drift reduction rather than headline financial ROI alone.</w:t>
      </w:r>
    </w:p>
    <w:p w14:paraId="2AA9FF14" w14:textId="77777777" w:rsidR="005D67A1" w:rsidRDefault="000B075A">
      <w:pPr>
        <w:spacing w:after="80"/>
      </w:pPr>
      <w:r>
        <w:t>Benefits to validate:</w:t>
      </w:r>
    </w:p>
    <w:p w14:paraId="1648ADE6" w14:textId="77777777" w:rsidR="005D67A1" w:rsidRDefault="000B075A">
      <w:pPr>
        <w:pStyle w:val="ListBullet"/>
        <w:spacing w:after="20"/>
      </w:pPr>
      <w:r>
        <w:t>Reduce duplicate concept mapping across platforms.</w:t>
      </w:r>
    </w:p>
    <w:p w14:paraId="1059B792" w14:textId="77777777" w:rsidR="005D67A1" w:rsidRDefault="000B075A">
      <w:pPr>
        <w:pStyle w:val="ListBullet"/>
        <w:spacing w:after="20"/>
      </w:pPr>
      <w:r>
        <w:t>Increase reuse of one governed definition across multiple tools.</w:t>
      </w:r>
    </w:p>
    <w:p w14:paraId="131EED53" w14:textId="77777777" w:rsidR="005D67A1" w:rsidRDefault="000B075A">
      <w:pPr>
        <w:pStyle w:val="ListBullet"/>
        <w:spacing w:after="20"/>
      </w:pPr>
      <w:r>
        <w:t>Reduce ambiguity in dashboard and data product definitions.</w:t>
      </w:r>
    </w:p>
    <w:p w14:paraId="06DD67A9" w14:textId="77777777" w:rsidR="005D67A1" w:rsidRDefault="000B075A">
      <w:pPr>
        <w:pStyle w:val="ListBullet"/>
        <w:spacing w:after="20"/>
      </w:pPr>
      <w:r>
        <w:t>Improve auditability of decision outputs.</w:t>
      </w:r>
    </w:p>
    <w:p w14:paraId="062CC8C7" w14:textId="77777777" w:rsidR="005D67A1" w:rsidRDefault="000B075A">
      <w:pPr>
        <w:pStyle w:val="ListBullet"/>
        <w:spacing w:after="20"/>
      </w:pPr>
      <w:r>
        <w:t>Lower vendor lock-in by keeping core industrial meaning under TotalEnergies governance.</w:t>
      </w:r>
    </w:p>
    <w:p w14:paraId="24FB3818" w14:textId="77777777" w:rsidR="005D67A1" w:rsidRDefault="000B075A">
      <w:pPr>
        <w:pStyle w:val="Heading3"/>
        <w:spacing w:before="120" w:after="40"/>
      </w:pPr>
      <w:r>
        <w:t>Measures Of Success</w:t>
      </w:r>
    </w:p>
    <w:p w14:paraId="7B502AD8" w14:textId="77777777" w:rsidR="005D67A1" w:rsidRDefault="000B075A">
      <w:pPr>
        <w:pStyle w:val="ListBullet"/>
        <w:spacing w:after="20"/>
      </w:pPr>
      <w:r>
        <w:t>Number of TSF concepts consumed by Cognite, Collibra, Fabric, or Power BI.</w:t>
      </w:r>
    </w:p>
    <w:p w14:paraId="3871EEBB" w14:textId="77777777" w:rsidR="005D67A1" w:rsidRDefault="000B075A">
      <w:pPr>
        <w:pStyle w:val="ListBullet"/>
        <w:spacing w:after="20"/>
      </w:pPr>
      <w:r>
        <w:t>Percentage of priority LifeX data products linked to governed concepts.</w:t>
      </w:r>
    </w:p>
    <w:p w14:paraId="6D7CA0A2" w14:textId="77777777" w:rsidR="005D67A1" w:rsidRDefault="000B075A">
      <w:pPr>
        <w:pStyle w:val="ListBullet"/>
        <w:spacing w:after="20"/>
      </w:pPr>
      <w:r>
        <w:t>Number of duplicated mappings retired or consolidated.</w:t>
      </w:r>
    </w:p>
    <w:p w14:paraId="5DF3AD5D" w14:textId="77777777" w:rsidR="005D67A1" w:rsidRDefault="000B075A">
      <w:pPr>
        <w:pStyle w:val="ListBullet"/>
        <w:spacing w:after="20"/>
      </w:pPr>
      <w:r>
        <w:t>Number of semantic drift issues identified and resolved.</w:t>
      </w:r>
    </w:p>
    <w:p w14:paraId="6A36CE1D" w14:textId="77777777" w:rsidR="005D67A1" w:rsidRDefault="000B075A">
      <w:pPr>
        <w:pStyle w:val="ListBullet"/>
        <w:spacing w:after="20"/>
      </w:pPr>
      <w:r>
        <w:t>Number of decision outputs with provenance across source systems.</w:t>
      </w:r>
    </w:p>
    <w:p w14:paraId="5F63F1B7" w14:textId="77777777" w:rsidR="005D67A1" w:rsidRDefault="000B075A">
      <w:pPr>
        <w:pStyle w:val="Heading3"/>
        <w:spacing w:before="120" w:after="40"/>
      </w:pPr>
      <w:r>
        <w:t>Validation Focus</w:t>
      </w:r>
    </w:p>
    <w:p w14:paraId="2DE3D728" w14:textId="77777777" w:rsidR="005D67A1" w:rsidRDefault="000B075A">
      <w:pPr>
        <w:spacing w:after="80"/>
      </w:pPr>
      <w:r>
        <w:t>The first integration target should be narrow: LifeX-relevant equipment classes, tags, inspection events, work orders, and management outputs. Platform teams should agree which semantic mappings are consumed first and how versioning is governed.</w:t>
      </w:r>
    </w:p>
    <w:p w14:paraId="45707DDC" w14:textId="77777777" w:rsidR="005D67A1" w:rsidRDefault="000B075A">
      <w:pPr>
        <w:pStyle w:val="Heading1"/>
        <w:spacing w:before="200" w:after="80"/>
      </w:pPr>
      <w:r>
        <w:t>Scenario 3: AI-Assisted Decision Support Grounded In Semantics</w:t>
      </w:r>
    </w:p>
    <w:p w14:paraId="01AD527A" w14:textId="77777777" w:rsidR="005D67A1" w:rsidRDefault="000B075A">
      <w:pPr>
        <w:pStyle w:val="Heading3"/>
        <w:spacing w:before="120" w:after="40"/>
      </w:pPr>
      <w:r>
        <w:t>Management Question</w:t>
      </w:r>
    </w:p>
    <w:p w14:paraId="38EAAD95" w14:textId="77777777" w:rsidR="005D67A1" w:rsidRDefault="000B075A">
      <w:pPr>
        <w:spacing w:after="80"/>
      </w:pPr>
      <w:r>
        <w:t>How can TotalEnergies use AI agents in mission-critical operations while keeping answers grounded, explainable, and auditable?</w:t>
      </w:r>
    </w:p>
    <w:p w14:paraId="17C7CB21" w14:textId="77777777" w:rsidR="005D67A1" w:rsidRDefault="000B075A">
      <w:pPr>
        <w:pStyle w:val="Heading3"/>
        <w:spacing w:before="120" w:after="40"/>
      </w:pPr>
      <w:r>
        <w:t>Current Situation</w:t>
      </w:r>
    </w:p>
    <w:p w14:paraId="1184BB38" w14:textId="77777777" w:rsidR="005D67A1" w:rsidRDefault="000B075A">
      <w:pPr>
        <w:spacing w:after="80"/>
      </w:pPr>
      <w:r>
        <w:t>AI and search tools can read documents, retrieve similar text, and generate plausible answers. The risk is that operational terms remain ambiguous. A model may find a relevant paragraph while still missing the governed definition, applicable rule, equipment context, or downstream business impact.</w:t>
      </w:r>
    </w:p>
    <w:p w14:paraId="04C3F2B4" w14:textId="77777777" w:rsidR="005D67A1" w:rsidRDefault="000B075A">
      <w:pPr>
        <w:spacing w:after="80"/>
      </w:pPr>
      <w:r>
        <w:t>For LifeX, this matters because decision support requires more than document retrieval. The answer must connect field evidence to equipment, standards, maintenance history, cost, safety, production, risk, and management rationale.</w:t>
      </w:r>
    </w:p>
    <w:p w14:paraId="06656F0C" w14:textId="77777777" w:rsidR="005D67A1" w:rsidRDefault="000B075A">
      <w:pPr>
        <w:pStyle w:val="Heading3"/>
        <w:spacing w:before="120" w:after="40"/>
      </w:pPr>
      <w:r>
        <w:t>With SKG</w:t>
      </w:r>
    </w:p>
    <w:p w14:paraId="366B6189" w14:textId="77777777" w:rsidR="005D67A1" w:rsidRDefault="000B075A">
      <w:pPr>
        <w:spacing w:after="80"/>
      </w:pPr>
      <w:r>
        <w:t>An AI agent can use the semantic graph as a governed context layer. It can understand:</w:t>
      </w:r>
    </w:p>
    <w:p w14:paraId="00F23F1A" w14:textId="77777777" w:rsidR="005D67A1" w:rsidRDefault="000B075A">
      <w:pPr>
        <w:pStyle w:val="ListBullet"/>
        <w:spacing w:after="20"/>
      </w:pPr>
      <w:r>
        <w:t>What type of equipment is involved.</w:t>
      </w:r>
    </w:p>
    <w:p w14:paraId="3001F31C" w14:textId="77777777" w:rsidR="005D67A1" w:rsidRDefault="000B075A">
      <w:pPr>
        <w:pStyle w:val="ListBullet"/>
        <w:spacing w:after="20"/>
      </w:pPr>
      <w:r>
        <w:t>Which process or event happened.</w:t>
      </w:r>
    </w:p>
    <w:p w14:paraId="40522087" w14:textId="77777777" w:rsidR="005D67A1" w:rsidRDefault="000B075A">
      <w:pPr>
        <w:pStyle w:val="ListBullet"/>
        <w:spacing w:after="20"/>
      </w:pPr>
      <w:r>
        <w:t>Which standards, rules, or thresholds apply.</w:t>
      </w:r>
    </w:p>
    <w:p w14:paraId="3277962B" w14:textId="77777777" w:rsidR="005D67A1" w:rsidRDefault="000B075A">
      <w:pPr>
        <w:pStyle w:val="ListBullet"/>
        <w:spacing w:after="20"/>
      </w:pPr>
      <w:r>
        <w:t>Which source systems contain evidence.</w:t>
      </w:r>
    </w:p>
    <w:p w14:paraId="4B18B461" w14:textId="77777777" w:rsidR="005D67A1" w:rsidRDefault="000B075A">
      <w:pPr>
        <w:pStyle w:val="ListBullet"/>
        <w:spacing w:after="20"/>
      </w:pPr>
      <w:r>
        <w:t>Which business impact is at stake.</w:t>
      </w:r>
    </w:p>
    <w:p w14:paraId="5FEFA41B" w14:textId="77777777" w:rsidR="005D67A1" w:rsidRDefault="000B075A">
      <w:pPr>
        <w:pStyle w:val="ListBullet"/>
        <w:spacing w:after="20"/>
      </w:pPr>
      <w:r>
        <w:t>Which provenance supports the answer.</w:t>
      </w:r>
    </w:p>
    <w:p w14:paraId="3F434108" w14:textId="77777777" w:rsidR="005D67A1" w:rsidRDefault="000B075A">
      <w:pPr>
        <w:spacing w:after="80"/>
      </w:pPr>
      <w:r>
        <w:t>The agent still uses operational data and documents, but its answer is grounded in the semantic control layer.</w:t>
      </w:r>
    </w:p>
    <w:p w14:paraId="15A8B57F" w14:textId="77777777" w:rsidR="005D67A1" w:rsidRDefault="000B075A">
      <w:pPr>
        <w:pStyle w:val="Heading3"/>
        <w:spacing w:before="120" w:after="40"/>
      </w:pPr>
      <w:r>
        <w:t>Before / After</w:t>
      </w:r>
    </w:p>
    <w:p w14:paraId="6820591D" w14:textId="77777777" w:rsidR="005D67A1" w:rsidRDefault="000B075A">
      <w:pPr>
        <w:spacing w:after="80"/>
      </w:pPr>
      <w:r>
        <w:t>Before:</w:t>
      </w:r>
    </w:p>
    <w:p w14:paraId="4E0B82D2" w14:textId="77777777" w:rsidR="005D67A1" w:rsidRDefault="000B075A">
      <w:pPr>
        <w:pStyle w:val="ListBullet"/>
        <w:spacing w:after="20"/>
      </w:pPr>
      <w:r>
        <w:t>AI answers depend heavily on retrieved text fragments.</w:t>
      </w:r>
    </w:p>
    <w:p w14:paraId="75D02D3F" w14:textId="77777777" w:rsidR="005D67A1" w:rsidRDefault="000B075A">
      <w:pPr>
        <w:pStyle w:val="ListBullet"/>
        <w:spacing w:after="20"/>
      </w:pPr>
      <w:r>
        <w:t>Business rules can remain buried in documents, spreadsheets, and local practices.</w:t>
      </w:r>
    </w:p>
    <w:p w14:paraId="7FDFD044" w14:textId="77777777" w:rsidR="005D67A1" w:rsidRDefault="000B075A">
      <w:pPr>
        <w:pStyle w:val="ListBullet"/>
        <w:spacing w:after="20"/>
      </w:pPr>
      <w:r>
        <w:t>Similarity between equipment or events is hard to prove when naming conventions differ.</w:t>
      </w:r>
    </w:p>
    <w:p w14:paraId="6374B253" w14:textId="77777777" w:rsidR="005D67A1" w:rsidRDefault="000B075A">
      <w:pPr>
        <w:pStyle w:val="ListBullet"/>
        <w:spacing w:after="20"/>
      </w:pPr>
      <w:r>
        <w:t>Decision makers must manually check whether the answer is grounded.</w:t>
      </w:r>
    </w:p>
    <w:p w14:paraId="388C08EB" w14:textId="77777777" w:rsidR="005D67A1" w:rsidRDefault="000B075A">
      <w:pPr>
        <w:spacing w:after="80"/>
      </w:pPr>
      <w:r>
        <w:t>With SKG:</w:t>
      </w:r>
    </w:p>
    <w:p w14:paraId="151284AC" w14:textId="77777777" w:rsidR="005D67A1" w:rsidRDefault="000B075A">
      <w:pPr>
        <w:pStyle w:val="ListBullet"/>
        <w:spacing w:after="20"/>
      </w:pPr>
      <w:r>
        <w:t>AI agents can route questions through governed concepts and source mappings.</w:t>
      </w:r>
    </w:p>
    <w:p w14:paraId="14924FE0" w14:textId="77777777" w:rsidR="005D67A1" w:rsidRDefault="000B075A">
      <w:pPr>
        <w:pStyle w:val="ListBullet"/>
        <w:spacing w:after="20"/>
      </w:pPr>
      <w:r>
        <w:t>Answers can include links to evidence, rules, affected equipment, and decision rationale.</w:t>
      </w:r>
    </w:p>
    <w:p w14:paraId="42AAFDB7" w14:textId="77777777" w:rsidR="005D67A1" w:rsidRDefault="000B075A">
      <w:pPr>
        <w:pStyle w:val="ListBullet"/>
        <w:spacing w:after="20"/>
      </w:pPr>
      <w:r>
        <w:t>The same semantic model supports dashboards, reports, and AI workflows.</w:t>
      </w:r>
    </w:p>
    <w:p w14:paraId="72403B33" w14:textId="77777777" w:rsidR="005D67A1" w:rsidRDefault="000B075A">
      <w:pPr>
        <w:pStyle w:val="ListBullet"/>
        <w:spacing w:after="20"/>
      </w:pPr>
      <w:r>
        <w:t>Auditability becomes part of the answer rather than a separate manual check.</w:t>
      </w:r>
    </w:p>
    <w:p w14:paraId="629CCA0B" w14:textId="77777777" w:rsidR="005D67A1" w:rsidRDefault="000B075A">
      <w:pPr>
        <w:pStyle w:val="Heading3"/>
        <w:spacing w:before="120" w:after="40"/>
      </w:pPr>
      <w:r>
        <w:t>Benefits To Validate</w:t>
      </w:r>
    </w:p>
    <w:p w14:paraId="321DDF19" w14:textId="77777777" w:rsidR="005D67A1" w:rsidRDefault="000B075A">
      <w:pPr>
        <w:spacing w:after="80"/>
      </w:pPr>
      <w:r>
        <w:t>This scenario should be validated through answer quality, auditability, and rework reduction.</w:t>
      </w:r>
    </w:p>
    <w:p w14:paraId="74EED98E" w14:textId="77777777" w:rsidR="005D67A1" w:rsidRDefault="000B075A">
      <w:pPr>
        <w:spacing w:after="80"/>
      </w:pPr>
      <w:r>
        <w:t>Benefits to validate:</w:t>
      </w:r>
    </w:p>
    <w:p w14:paraId="2AC66B6A" w14:textId="77777777" w:rsidR="005D67A1" w:rsidRDefault="000B075A">
      <w:pPr>
        <w:pStyle w:val="ListBullet"/>
        <w:spacing w:after="20"/>
      </w:pPr>
      <w:r>
        <w:t>Increase the share of AI-assisted answers that include provenance.</w:t>
      </w:r>
    </w:p>
    <w:p w14:paraId="4EE0F395" w14:textId="77777777" w:rsidR="005D67A1" w:rsidRDefault="000B075A">
      <w:pPr>
        <w:pStyle w:val="ListBullet"/>
        <w:spacing w:after="20"/>
      </w:pPr>
      <w:r>
        <w:t>Reduce unsupported or ambiguous recommendations in mission-critical workflows.</w:t>
      </w:r>
    </w:p>
    <w:p w14:paraId="3107FB02" w14:textId="77777777" w:rsidR="005D67A1" w:rsidRDefault="000B075A">
      <w:pPr>
        <w:pStyle w:val="ListBullet"/>
        <w:spacing w:after="20"/>
      </w:pPr>
      <w:r>
        <w:t>Reduce repeated prompt engineering and local taxonomy work.</w:t>
      </w:r>
    </w:p>
    <w:p w14:paraId="5D38D6FA" w14:textId="77777777" w:rsidR="005D67A1" w:rsidRDefault="000B075A">
      <w:pPr>
        <w:pStyle w:val="ListBullet"/>
        <w:spacing w:after="20"/>
      </w:pPr>
      <w:r>
        <w:t>Improve acceptance of AI outputs by operational and management users.</w:t>
      </w:r>
    </w:p>
    <w:p w14:paraId="7492BEBE" w14:textId="77777777" w:rsidR="005D67A1" w:rsidRDefault="000B075A">
      <w:pPr>
        <w:pStyle w:val="ListBullet"/>
        <w:spacing w:after="20"/>
      </w:pPr>
      <w:r>
        <w:t>Reduce remediation effort by grounding AI agents in governed concepts, rules, and source evidence.</w:t>
      </w:r>
    </w:p>
    <w:p w14:paraId="7F5172FE" w14:textId="77777777" w:rsidR="005D67A1" w:rsidRDefault="000B075A">
      <w:pPr>
        <w:pStyle w:val="Heading3"/>
        <w:spacing w:before="120" w:after="40"/>
      </w:pPr>
      <w:r>
        <w:t>Measures Of Success</w:t>
      </w:r>
    </w:p>
    <w:p w14:paraId="32980D30" w14:textId="77777777" w:rsidR="005D67A1" w:rsidRDefault="000B075A">
      <w:pPr>
        <w:pStyle w:val="ListBullet"/>
        <w:spacing w:after="20"/>
      </w:pPr>
      <w:r>
        <w:t>Percentage of AI answers with explicit provenance.</w:t>
      </w:r>
    </w:p>
    <w:p w14:paraId="63EC43FB" w14:textId="77777777" w:rsidR="005D67A1" w:rsidRDefault="000B075A">
      <w:pPr>
        <w:pStyle w:val="ListBullet"/>
        <w:spacing w:after="20"/>
      </w:pPr>
      <w:r>
        <w:t>Percentage of answers linked to TSF concepts and source system evidence.</w:t>
      </w:r>
    </w:p>
    <w:p w14:paraId="141BDE8D" w14:textId="77777777" w:rsidR="005D67A1" w:rsidRDefault="000B075A">
      <w:pPr>
        <w:pStyle w:val="ListBullet"/>
        <w:spacing w:after="20"/>
      </w:pPr>
      <w:r>
        <w:t>Number of decision questions an AI agent can route through the semantic layer.</w:t>
      </w:r>
    </w:p>
    <w:p w14:paraId="7520CB56" w14:textId="77777777" w:rsidR="005D67A1" w:rsidRDefault="000B075A">
      <w:pPr>
        <w:pStyle w:val="ListBullet"/>
        <w:spacing w:after="20"/>
      </w:pPr>
      <w:r>
        <w:t>Reduction in manual checks required before using an AI-assisted answer.</w:t>
      </w:r>
    </w:p>
    <w:p w14:paraId="44F1B4A3" w14:textId="77777777" w:rsidR="005D67A1" w:rsidRDefault="000B075A">
      <w:pPr>
        <w:pStyle w:val="ListBullet"/>
        <w:spacing w:after="20"/>
      </w:pPr>
      <w:r>
        <w:t>User acceptance rate for AI-assisted decision packages.</w:t>
      </w:r>
    </w:p>
    <w:p w14:paraId="79B27083" w14:textId="77777777" w:rsidR="005D67A1" w:rsidRDefault="000B075A">
      <w:pPr>
        <w:pStyle w:val="Heading3"/>
        <w:spacing w:before="120" w:after="40"/>
      </w:pPr>
      <w:r>
        <w:t>Validation Focus</w:t>
      </w:r>
    </w:p>
    <w:p w14:paraId="6F6BB460" w14:textId="77777777" w:rsidR="005D67A1" w:rsidRDefault="000B075A">
      <w:pPr>
        <w:spacing w:after="80"/>
      </w:pPr>
      <w:r>
        <w:t>The first AI scenario should stay close to LifeX. A practical target is an advisory assistant that helps prepare a decision package by retrieving evidence, mapping it to equipment concepts, identifying similar cases, and showing the trace from observation to recommendation.</w:t>
      </w:r>
    </w:p>
    <w:p w14:paraId="1E1ED747" w14:textId="77777777" w:rsidR="005D67A1" w:rsidRDefault="000B075A">
      <w:pPr>
        <w:pStyle w:val="Heading1"/>
        <w:spacing w:before="200" w:after="80"/>
      </w:pPr>
      <w:r>
        <w:t>Implementation Sequence</w:t>
      </w:r>
    </w:p>
    <w:p w14:paraId="17F2A1FA" w14:textId="77777777" w:rsidR="005D67A1" w:rsidRDefault="000B075A">
      <w:pPr>
        <w:pStyle w:val="Heading3"/>
        <w:spacing w:before="120" w:after="40"/>
      </w:pPr>
      <w:r>
        <w:t>Step 1: Agree The First Decision Questions</w:t>
      </w:r>
    </w:p>
    <w:p w14:paraId="70324BDB" w14:textId="77777777" w:rsidR="005D67A1" w:rsidRDefault="000B075A">
      <w:pPr>
        <w:spacing w:after="80"/>
      </w:pPr>
      <w:r>
        <w:t>Confirm the LifeX questions that matter for management:</w:t>
      </w:r>
    </w:p>
    <w:p w14:paraId="672CFBD3" w14:textId="77777777" w:rsidR="005D67A1" w:rsidRDefault="000B075A">
      <w:pPr>
        <w:pStyle w:val="ListBullet"/>
        <w:spacing w:after="20"/>
      </w:pPr>
      <w:r>
        <w:t>Which FPSO assets, equipment families, or tags are degrading faster than expected?</w:t>
      </w:r>
    </w:p>
    <w:p w14:paraId="66D07DFB" w14:textId="77777777" w:rsidR="005D67A1" w:rsidRDefault="000B075A">
      <w:pPr>
        <w:pStyle w:val="ListBullet"/>
        <w:spacing w:after="20"/>
      </w:pPr>
      <w:r>
        <w:t>What is the impact on the LifeX investment plan, maintenance schedule, and risk profile?</w:t>
      </w:r>
    </w:p>
    <w:p w14:paraId="044B6826" w14:textId="77777777" w:rsidR="005D67A1" w:rsidRDefault="000B075A">
      <w:pPr>
        <w:pStyle w:val="ListBullet"/>
        <w:spacing w:after="20"/>
      </w:pPr>
      <w:r>
        <w:t>Which decision reduces risk while avoiding over-investment, and how can it be justified?</w:t>
      </w:r>
    </w:p>
    <w:p w14:paraId="13AD6AB6" w14:textId="77777777" w:rsidR="005D67A1" w:rsidRDefault="000B075A">
      <w:pPr>
        <w:pStyle w:val="Heading3"/>
        <w:spacing w:before="120" w:after="40"/>
      </w:pPr>
      <w:r>
        <w:t>Step 2: Select A Narrow Operational Scope</w:t>
      </w:r>
    </w:p>
    <w:p w14:paraId="38C89087" w14:textId="77777777" w:rsidR="005D67A1" w:rsidRDefault="000B075A">
      <w:pPr>
        <w:spacing w:after="80"/>
      </w:pPr>
      <w:r>
        <w:t>Start with one FPSO, one or two priority equipment families / tag patterns, one inspection workflow, and one management output. The objective is to prove the chain from evidence to decision, then scale.</w:t>
      </w:r>
    </w:p>
    <w:p w14:paraId="1F51DCC2" w14:textId="77777777" w:rsidR="005D67A1" w:rsidRDefault="000B075A">
      <w:pPr>
        <w:pStyle w:val="Heading3"/>
        <w:spacing w:before="120" w:after="40"/>
      </w:pPr>
      <w:r>
        <w:t>Step 3: Build The LifeX Semantic Data Product</w:t>
      </w:r>
    </w:p>
    <w:p w14:paraId="3E7F02C8" w14:textId="77777777" w:rsidR="005D67A1" w:rsidRDefault="000B075A">
      <w:pPr>
        <w:spacing w:after="80"/>
      </w:pPr>
      <w:r>
        <w:t>Package the reusable assets:</w:t>
      </w:r>
    </w:p>
    <w:p w14:paraId="18817886" w14:textId="77777777" w:rsidR="005D67A1" w:rsidRDefault="000B075A">
      <w:pPr>
        <w:pStyle w:val="ListBullet"/>
        <w:spacing w:after="20"/>
      </w:pPr>
      <w:r>
        <w:t>Concepts and definitions.</w:t>
      </w:r>
    </w:p>
    <w:p w14:paraId="69AB44BD" w14:textId="77777777" w:rsidR="005D67A1" w:rsidRDefault="000B075A">
      <w:pPr>
        <w:pStyle w:val="ListBullet"/>
        <w:spacing w:after="20"/>
      </w:pPr>
      <w:r>
        <w:t>Equipment classes, tags, and functional locations.</w:t>
      </w:r>
    </w:p>
    <w:p w14:paraId="0A572EA4" w14:textId="77777777" w:rsidR="005D67A1" w:rsidRDefault="000B075A">
      <w:pPr>
        <w:pStyle w:val="ListBullet"/>
        <w:spacing w:after="20"/>
      </w:pPr>
      <w:r>
        <w:t>Source mappings.</w:t>
      </w:r>
    </w:p>
    <w:p w14:paraId="1DF40F42" w14:textId="77777777" w:rsidR="005D67A1" w:rsidRDefault="000B075A">
      <w:pPr>
        <w:pStyle w:val="ListBullet"/>
        <w:spacing w:after="20"/>
      </w:pPr>
      <w:r>
        <w:t>Inspection and maintenance evidence links.</w:t>
      </w:r>
    </w:p>
    <w:p w14:paraId="304BA632" w14:textId="77777777" w:rsidR="005D67A1" w:rsidRDefault="000B075A">
      <w:pPr>
        <w:pStyle w:val="ListBullet"/>
        <w:spacing w:after="20"/>
      </w:pPr>
      <w:r>
        <w:t>Rules, thresholds, and standards references.</w:t>
      </w:r>
    </w:p>
    <w:p w14:paraId="6A93D7AF" w14:textId="77777777" w:rsidR="005D67A1" w:rsidRDefault="000B075A">
      <w:pPr>
        <w:pStyle w:val="ListBullet"/>
        <w:spacing w:after="20"/>
      </w:pPr>
      <w:r>
        <w:t>Query services or APIs.</w:t>
      </w:r>
    </w:p>
    <w:p w14:paraId="0509F72F" w14:textId="77777777" w:rsidR="005D67A1" w:rsidRDefault="000B075A">
      <w:pPr>
        <w:pStyle w:val="ListBullet"/>
        <w:spacing w:after="20"/>
      </w:pPr>
      <w:r>
        <w:t>Decision outputs and provenance.</w:t>
      </w:r>
    </w:p>
    <w:p w14:paraId="2A3E9090" w14:textId="77777777" w:rsidR="005D67A1" w:rsidRDefault="000B075A">
      <w:pPr>
        <w:pStyle w:val="Heading3"/>
        <w:spacing w:before="120" w:after="40"/>
      </w:pPr>
      <w:r>
        <w:t>Step 4: Wire The Semantic Output To Platforms</w:t>
      </w:r>
    </w:p>
    <w:p w14:paraId="25CB8424" w14:textId="77777777" w:rsidR="005D67A1" w:rsidRDefault="000B075A">
      <w:pPr>
        <w:spacing w:after="80"/>
      </w:pPr>
      <w:r>
        <w:t>Expose the LifeX semantic data product to the platform ecosystem, starting with the tools already used in the LifeX workflow. Cognite, Collibra, Fabric, Power BI, Alteryx, operational applications, and AI agents should consume the governed meaning rather than recreate it.</w:t>
      </w:r>
    </w:p>
    <w:p w14:paraId="3B9F0BB5" w14:textId="77777777" w:rsidR="005D67A1" w:rsidRDefault="000B075A">
      <w:pPr>
        <w:pStyle w:val="Heading3"/>
        <w:spacing w:before="120" w:after="40"/>
      </w:pPr>
      <w:r>
        <w:t>Step 5: Measure, Package, And Scale</w:t>
      </w:r>
    </w:p>
    <w:p w14:paraId="621BC000" w14:textId="77777777" w:rsidR="005D67A1" w:rsidRDefault="000B075A">
      <w:pPr>
        <w:spacing w:after="80"/>
      </w:pPr>
      <w:r>
        <w:t>Measure the benefit through decision preparation time, reusable mappings, evidence traceability, cross-FPSO pattern discovery, and reduced semantic drift. Once validated, the same approach can be reused for other mission-critical processes.</w:t>
      </w:r>
    </w:p>
    <w:p w14:paraId="198E20C9" w14:textId="77777777" w:rsidR="005D67A1" w:rsidRDefault="000B075A">
      <w:pPr>
        <w:pStyle w:val="Heading1"/>
        <w:spacing w:before="200" w:after="80"/>
      </w:pPr>
      <w:r>
        <w:t>Client-Ready Takeaway</w:t>
      </w:r>
    </w:p>
    <w:p w14:paraId="20B8C0B0" w14:textId="77777777" w:rsidR="005D67A1" w:rsidRDefault="000B075A">
      <w:pPr>
        <w:spacing w:after="80"/>
      </w:pPr>
      <w:r>
        <w:t>The use case is to turn fragmented operational evidence into faster, traceable, reusable management decisions.</w:t>
      </w:r>
    </w:p>
    <w:p w14:paraId="0826F952" w14:textId="77777777" w:rsidR="005D67A1" w:rsidRDefault="000B075A">
      <w:pPr>
        <w:spacing w:after="80"/>
      </w:pPr>
      <w:r>
        <w:t>LifeX is the right first showcase because the decision cycle is concrete, the sources are fragmented, the assets are valuable, and the business impact is visible.</w:t>
      </w:r>
    </w:p>
    <w:sectPr w:rsidR="005D67A1" w:rsidSect="00034616">
      <w:pgSz w:w="12240" w:h="15840"/>
      <w:pgMar w:top="936"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6944400">
    <w:abstractNumId w:val="8"/>
  </w:num>
  <w:num w:numId="2" w16cid:durableId="1052995241">
    <w:abstractNumId w:val="6"/>
  </w:num>
  <w:num w:numId="3" w16cid:durableId="1567718999">
    <w:abstractNumId w:val="5"/>
  </w:num>
  <w:num w:numId="4" w16cid:durableId="1839736194">
    <w:abstractNumId w:val="4"/>
  </w:num>
  <w:num w:numId="5" w16cid:durableId="1523930753">
    <w:abstractNumId w:val="7"/>
  </w:num>
  <w:num w:numId="6" w16cid:durableId="21446960">
    <w:abstractNumId w:val="3"/>
  </w:num>
  <w:num w:numId="7" w16cid:durableId="679160390">
    <w:abstractNumId w:val="2"/>
  </w:num>
  <w:num w:numId="8" w16cid:durableId="1512060522">
    <w:abstractNumId w:val="1"/>
  </w:num>
  <w:num w:numId="9" w16cid:durableId="81961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75A"/>
    <w:rsid w:val="0015074B"/>
    <w:rsid w:val="0029639D"/>
    <w:rsid w:val="00326F90"/>
    <w:rsid w:val="005D67A1"/>
    <w:rsid w:val="00AA1D8D"/>
    <w:rsid w:val="00B47730"/>
    <w:rsid w:val="00CB0664"/>
    <w:rsid w:val="00D8225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470F9CC-5157-4DBD-BCA6-203C4067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72CE"/>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64B4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72CE"/>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BC9EB0AE3764CB2BAB3A170B8BE87" ma:contentTypeVersion="12" ma:contentTypeDescription="Create a new document." ma:contentTypeScope="" ma:versionID="43f056c547f0138eb986524738e808fe">
  <xsd:schema xmlns:xsd="http://www.w3.org/2001/XMLSchema" xmlns:xs="http://www.w3.org/2001/XMLSchema" xmlns:p="http://schemas.microsoft.com/office/2006/metadata/properties" xmlns:ns2="ea1a7424-8964-4c09-bf6d-7abbb7a983c2" xmlns:ns3="f0efba60-938d-4b65-892d-79b9b7d79103" targetNamespace="http://schemas.microsoft.com/office/2006/metadata/properties" ma:root="true" ma:fieldsID="ecfa3c0a3d3941516bfaa5aa98a78b75" ns2:_="" ns3:_="">
    <xsd:import namespace="ea1a7424-8964-4c09-bf6d-7abbb7a983c2"/>
    <xsd:import namespace="f0efba60-938d-4b65-892d-79b9b7d79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7424-8964-4c09-bf6d-7abbb7a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ba60-938d-4b65-892d-79b9b7d791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9af36-63ca-4927-a3ab-9e1956241563}" ma:internalName="TaxCatchAll" ma:showField="CatchAllData" ma:web="f0efba60-938d-4b65-892d-79b9b7d79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1a7424-8964-4c09-bf6d-7abbb7a983c2">
      <Terms xmlns="http://schemas.microsoft.com/office/infopath/2007/PartnerControls"/>
    </lcf76f155ced4ddcb4097134ff3c332f>
    <TaxCatchAll xmlns="f0efba60-938d-4b65-892d-79b9b7d791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3A4EA-2665-4764-9A0E-8BE17DE0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7424-8964-4c09-bf6d-7abbb7a983c2"/>
    <ds:schemaRef ds:uri="f0efba60-938d-4b65-892d-79b9b7d7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A358E0D5-BC1B-45D5-843C-6B8A03764DA8}">
  <ds:schemaRefs>
    <ds:schemaRef ds:uri="http://schemas.microsoft.com/office/2006/metadata/properties"/>
    <ds:schemaRef ds:uri="http://schemas.microsoft.com/office/infopath/2007/PartnerControls"/>
    <ds:schemaRef ds:uri="ea1a7424-8964-4c09-bf6d-7abbb7a983c2"/>
    <ds:schemaRef ds:uri="f0efba60-938d-4b65-892d-79b9b7d79103"/>
  </ds:schemaRefs>
</ds:datastoreItem>
</file>

<file path=customXml/itemProps4.xml><?xml version="1.0" encoding="utf-8"?>
<ds:datastoreItem xmlns:ds="http://schemas.openxmlformats.org/officeDocument/2006/customXml" ds:itemID="{3C7B524E-C124-4922-806E-5306AE4E3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1957</Words>
  <Characters>11159</Characters>
  <Application>Microsoft Office Word</Application>
  <DocSecurity>0</DocSecurity>
  <Lines>92</Lines>
  <Paragraphs>26</Paragraphs>
  <ScaleCrop>false</ScaleCrop>
  <Manager/>
  <Company/>
  <LinksUpToDate>false</LinksUpToDate>
  <CharactersWithSpaces>13090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Semantic Knowledge Graphs and Ontologies at TotalEnergies - Use Case Showcase</dc:title>
  <dc:subject>LifeX, TSF, SousLeSens, semantic control layer, use cases</dc:subject>
  <dc:creator>Forvis Mazars</dc:creator>
  <cp:keywords/>
  <dc:description>generated by python-docx</dc:description>
  <cp:lastModifiedBy>Jeremy Ravenel</cp:lastModifiedBy>
  <cp:revision>2</cp:revision>
  <dcterms:created xsi:type="dcterms:W3CDTF">2026-06-05T08:50:00Z</dcterms:created>
  <dcterms:modified xsi:type="dcterms:W3CDTF">2026-06-05T08:50:00Z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0x010100588BC9EB0AE3764CB2BAB3A170B8BE87</vt:lpwstr>
  </property>
  <property fmtid="{D5CDD505-2E9C-101B-9397-08002B2CF9AE}" pid="3" name="MediaServiceImageTags">
    <vt:lpwstr/>
  </property>
</Properties>
</file>